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794BA">
      <w:pPr>
        <w:jc w:val="center"/>
        <w:rPr>
          <w:rFonts w:ascii="宋体" w:hAnsi="宋体" w:eastAsia="宋体" w:cs="黑体"/>
          <w:sz w:val="44"/>
          <w:szCs w:val="44"/>
        </w:rPr>
      </w:pPr>
    </w:p>
    <w:p w14:paraId="222175EB">
      <w:pPr>
        <w:jc w:val="center"/>
        <w:rPr>
          <w:rFonts w:ascii="宋体" w:hAnsi="宋体" w:eastAsia="宋体" w:cs="黑体"/>
          <w:sz w:val="44"/>
          <w:szCs w:val="44"/>
        </w:rPr>
      </w:pPr>
    </w:p>
    <w:p w14:paraId="78B583BF">
      <w:pPr>
        <w:spacing w:line="60" w:lineRule="auto"/>
        <w:jc w:val="center"/>
        <w:rPr>
          <w:rFonts w:ascii="宋体" w:hAnsi="宋体" w:eastAsia="宋体" w:cs="黑体"/>
          <w:sz w:val="44"/>
          <w:szCs w:val="44"/>
        </w:rPr>
      </w:pPr>
      <w:r>
        <w:rPr>
          <w:rFonts w:hint="eastAsia" w:ascii="宋体" w:hAnsi="宋体" w:eastAsia="宋体" w:cs="黑体"/>
          <w:sz w:val="44"/>
          <w:szCs w:val="44"/>
          <w:lang w:val="en-US" w:eastAsia="zh-CN"/>
        </w:rPr>
        <w:t>南通通湾旅游开发有限公司金石国际大酒店</w:t>
      </w:r>
      <w:r>
        <w:rPr>
          <w:rFonts w:hint="eastAsia" w:ascii="宋体" w:hAnsi="宋体" w:eastAsia="宋体" w:cs="黑体"/>
          <w:sz w:val="44"/>
          <w:szCs w:val="44"/>
        </w:rPr>
        <w:t>中央空调循环水处理服务项目</w:t>
      </w:r>
    </w:p>
    <w:p w14:paraId="668C2C3F">
      <w:pPr>
        <w:jc w:val="center"/>
        <w:rPr>
          <w:rFonts w:ascii="黑体" w:hAnsi="黑体" w:eastAsia="黑体" w:cs="黑体"/>
          <w:sz w:val="44"/>
          <w:szCs w:val="44"/>
        </w:rPr>
      </w:pPr>
    </w:p>
    <w:p w14:paraId="2A8A6273">
      <w:pPr>
        <w:jc w:val="center"/>
        <w:rPr>
          <w:rFonts w:ascii="黑体" w:hAnsi="黑体" w:eastAsia="黑体" w:cs="黑体"/>
          <w:sz w:val="44"/>
          <w:szCs w:val="44"/>
        </w:rPr>
      </w:pPr>
    </w:p>
    <w:p w14:paraId="10662CBA">
      <w:pPr>
        <w:jc w:val="center"/>
        <w:rPr>
          <w:rFonts w:hint="eastAsia" w:ascii="宋体" w:hAnsi="宋体" w:eastAsia="宋体" w:cs="宋体"/>
          <w:sz w:val="46"/>
          <w:szCs w:val="46"/>
        </w:rPr>
      </w:pPr>
    </w:p>
    <w:p w14:paraId="5E21562F">
      <w:pPr>
        <w:jc w:val="center"/>
        <w:rPr>
          <w:rFonts w:hint="eastAsia" w:ascii="宋体" w:hAnsi="宋体" w:eastAsia="宋体" w:cs="宋体"/>
          <w:sz w:val="46"/>
          <w:szCs w:val="46"/>
        </w:rPr>
      </w:pPr>
    </w:p>
    <w:p w14:paraId="5149403A">
      <w:pPr>
        <w:jc w:val="center"/>
        <w:rPr>
          <w:rFonts w:hint="eastAsia" w:ascii="宋体" w:hAnsi="宋体" w:eastAsia="宋体" w:cs="宋体"/>
          <w:sz w:val="46"/>
          <w:szCs w:val="46"/>
        </w:rPr>
      </w:pPr>
    </w:p>
    <w:p w14:paraId="19EFAF65">
      <w:pPr>
        <w:jc w:val="center"/>
        <w:rPr>
          <w:rFonts w:ascii="宋体" w:hAnsi="宋体" w:eastAsia="宋体" w:cs="宋体"/>
          <w:sz w:val="46"/>
          <w:szCs w:val="46"/>
        </w:rPr>
      </w:pPr>
      <w:r>
        <w:rPr>
          <w:rFonts w:hint="eastAsia" w:ascii="宋体" w:hAnsi="宋体" w:eastAsia="宋体" w:cs="宋体"/>
          <w:sz w:val="46"/>
          <w:szCs w:val="46"/>
        </w:rPr>
        <w:t>招标文件</w:t>
      </w:r>
    </w:p>
    <w:p w14:paraId="1B287276"/>
    <w:p w14:paraId="79BBD841"/>
    <w:p w14:paraId="36642914"/>
    <w:p w14:paraId="3B88BAA9"/>
    <w:p w14:paraId="076DA96F"/>
    <w:p w14:paraId="1509B81B"/>
    <w:p w14:paraId="30E8A0CD">
      <w:pPr>
        <w:pStyle w:val="2"/>
      </w:pPr>
    </w:p>
    <w:p w14:paraId="676DACC4">
      <w:pPr>
        <w:pStyle w:val="3"/>
      </w:pPr>
    </w:p>
    <w:p w14:paraId="7589C24D">
      <w:pPr>
        <w:pStyle w:val="3"/>
      </w:pPr>
    </w:p>
    <w:p w14:paraId="40F001C7">
      <w:pPr>
        <w:pStyle w:val="3"/>
      </w:pPr>
    </w:p>
    <w:p w14:paraId="5281083B">
      <w:pPr>
        <w:pStyle w:val="3"/>
      </w:pPr>
    </w:p>
    <w:p w14:paraId="3B25B093">
      <w:pPr>
        <w:pStyle w:val="3"/>
      </w:pPr>
    </w:p>
    <w:p w14:paraId="2FF3DBE2">
      <w:pPr>
        <w:pStyle w:val="3"/>
      </w:pPr>
    </w:p>
    <w:p w14:paraId="394736D5">
      <w:pPr>
        <w:pStyle w:val="3"/>
      </w:pPr>
    </w:p>
    <w:p w14:paraId="7C0F5906">
      <w:pPr>
        <w:pStyle w:val="3"/>
      </w:pPr>
    </w:p>
    <w:p w14:paraId="73D73E9A">
      <w:pPr>
        <w:pStyle w:val="3"/>
      </w:pPr>
    </w:p>
    <w:p w14:paraId="23898ADD">
      <w:pPr>
        <w:pStyle w:val="3"/>
      </w:pPr>
    </w:p>
    <w:p w14:paraId="6EA10FEE">
      <w:pPr>
        <w:pStyle w:val="3"/>
      </w:pPr>
    </w:p>
    <w:p w14:paraId="33ED20E3"/>
    <w:p w14:paraId="2396E264">
      <w:pPr>
        <w:jc w:val="center"/>
        <w:rPr>
          <w:rFonts w:ascii="宋体" w:hAnsi="宋体" w:eastAsia="宋体" w:cs="宋体"/>
          <w:sz w:val="32"/>
          <w:szCs w:val="32"/>
        </w:rPr>
      </w:pPr>
      <w:r>
        <w:rPr>
          <w:rFonts w:hint="eastAsia" w:ascii="宋体" w:hAnsi="宋体" w:eastAsia="宋体" w:cs="宋体"/>
          <w:sz w:val="32"/>
          <w:szCs w:val="32"/>
        </w:rPr>
        <w:t>招标人：</w:t>
      </w:r>
      <w:r>
        <w:rPr>
          <w:rFonts w:hint="eastAsia" w:ascii="宋体" w:hAnsi="宋体" w:eastAsia="宋体" w:cs="黑体"/>
          <w:sz w:val="32"/>
          <w:szCs w:val="32"/>
          <w:lang w:val="en-US" w:eastAsia="zh-CN"/>
        </w:rPr>
        <w:t>南通通湾旅游开发有限公司金石国际大酒店</w:t>
      </w:r>
    </w:p>
    <w:p w14:paraId="6E77EC6B">
      <w:pPr>
        <w:jc w:val="center"/>
        <w:rPr>
          <w:rFonts w:ascii="宋体" w:hAnsi="宋体" w:eastAsia="宋体" w:cs="宋体"/>
          <w:sz w:val="32"/>
          <w:szCs w:val="32"/>
        </w:rPr>
      </w:pPr>
      <w:r>
        <w:rPr>
          <w:rFonts w:hint="eastAsia" w:ascii="宋体" w:hAnsi="宋体" w:eastAsia="宋体" w:cs="宋体"/>
          <w:sz w:val="32"/>
          <w:szCs w:val="32"/>
        </w:rPr>
        <w:t>二〇二五年</w:t>
      </w:r>
      <w:r>
        <w:rPr>
          <w:rFonts w:hint="eastAsia" w:ascii="宋体" w:hAnsi="宋体" w:eastAsia="宋体" w:cs="宋体"/>
          <w:sz w:val="32"/>
          <w:szCs w:val="32"/>
          <w:lang w:val="en-US" w:eastAsia="zh-CN"/>
        </w:rPr>
        <w:t>八</w:t>
      </w:r>
      <w:r>
        <w:rPr>
          <w:rFonts w:hint="eastAsia" w:ascii="宋体" w:hAnsi="宋体" w:eastAsia="宋体" w:cs="宋体"/>
          <w:sz w:val="32"/>
          <w:szCs w:val="32"/>
        </w:rPr>
        <w:t>月</w:t>
      </w:r>
    </w:p>
    <w:p w14:paraId="09B5B9C3">
      <w:pPr>
        <w:rPr>
          <w:sz w:val="44"/>
          <w:szCs w:val="44"/>
        </w:rPr>
      </w:pPr>
    </w:p>
    <w:p w14:paraId="1BA42F1B">
      <w:pPr>
        <w:rPr>
          <w:sz w:val="44"/>
          <w:szCs w:val="44"/>
        </w:rPr>
      </w:pPr>
    </w:p>
    <w:p w14:paraId="04AFDA4E">
      <w:pPr>
        <w:pStyle w:val="2"/>
      </w:pPr>
    </w:p>
    <w:p w14:paraId="69569E5A">
      <w:pPr>
        <w:pStyle w:val="2"/>
      </w:pPr>
    </w:p>
    <w:p w14:paraId="3B05CF7E">
      <w:pPr>
        <w:ind w:firstLine="3600" w:firstLineChars="1000"/>
        <w:rPr>
          <w:rFonts w:ascii="宋体" w:hAnsi="宋体" w:eastAsia="宋体"/>
          <w:sz w:val="36"/>
          <w:szCs w:val="36"/>
        </w:rPr>
      </w:pPr>
      <w:r>
        <w:rPr>
          <w:rFonts w:hint="eastAsia" w:ascii="宋体" w:hAnsi="宋体" w:eastAsia="宋体"/>
          <w:sz w:val="36"/>
          <w:szCs w:val="36"/>
        </w:rPr>
        <w:t>目 录</w:t>
      </w:r>
    </w:p>
    <w:p w14:paraId="68F5E4B8">
      <w:pPr>
        <w:rPr>
          <w:rFonts w:ascii="宋体" w:hAnsi="宋体" w:eastAsia="宋体"/>
          <w:sz w:val="36"/>
          <w:szCs w:val="36"/>
        </w:rPr>
      </w:pPr>
    </w:p>
    <w:p w14:paraId="3C545FC7">
      <w:pPr>
        <w:rPr>
          <w:rFonts w:ascii="宋体" w:hAnsi="宋体" w:eastAsia="宋体"/>
          <w:sz w:val="36"/>
          <w:szCs w:val="36"/>
        </w:rPr>
      </w:pPr>
      <w:r>
        <w:rPr>
          <w:rFonts w:hint="eastAsia" w:ascii="宋体" w:hAnsi="宋体" w:eastAsia="宋体"/>
          <w:sz w:val="36"/>
          <w:szCs w:val="36"/>
        </w:rPr>
        <w:t>第一部分 招标公告</w:t>
      </w:r>
    </w:p>
    <w:p w14:paraId="0BEB3594">
      <w:pPr>
        <w:rPr>
          <w:rFonts w:ascii="宋体" w:hAnsi="宋体" w:eastAsia="宋体"/>
          <w:sz w:val="36"/>
          <w:szCs w:val="36"/>
        </w:rPr>
      </w:pPr>
    </w:p>
    <w:p w14:paraId="597331E6">
      <w:pPr>
        <w:rPr>
          <w:rFonts w:ascii="宋体" w:hAnsi="宋体" w:eastAsia="宋体"/>
          <w:sz w:val="36"/>
          <w:szCs w:val="36"/>
        </w:rPr>
      </w:pPr>
      <w:r>
        <w:rPr>
          <w:rFonts w:hint="eastAsia" w:ascii="宋体" w:hAnsi="宋体" w:eastAsia="宋体"/>
          <w:sz w:val="36"/>
          <w:szCs w:val="36"/>
        </w:rPr>
        <w:t>第二部分 投标人须知</w:t>
      </w:r>
    </w:p>
    <w:p w14:paraId="334E3B2B">
      <w:pPr>
        <w:rPr>
          <w:rFonts w:ascii="宋体" w:hAnsi="宋体" w:eastAsia="宋体"/>
          <w:sz w:val="36"/>
          <w:szCs w:val="36"/>
        </w:rPr>
      </w:pPr>
    </w:p>
    <w:p w14:paraId="5B40A8B3">
      <w:pPr>
        <w:rPr>
          <w:rFonts w:ascii="宋体" w:hAnsi="宋体" w:eastAsia="宋体"/>
          <w:sz w:val="36"/>
          <w:szCs w:val="36"/>
        </w:rPr>
      </w:pPr>
      <w:r>
        <w:rPr>
          <w:rFonts w:hint="eastAsia" w:ascii="宋体" w:hAnsi="宋体" w:eastAsia="宋体"/>
          <w:sz w:val="36"/>
          <w:szCs w:val="36"/>
        </w:rPr>
        <w:t>第三部分 项目需求</w:t>
      </w:r>
    </w:p>
    <w:p w14:paraId="5A94D130">
      <w:pPr>
        <w:rPr>
          <w:rFonts w:ascii="宋体" w:hAnsi="宋体" w:eastAsia="宋体"/>
          <w:sz w:val="36"/>
          <w:szCs w:val="36"/>
        </w:rPr>
      </w:pPr>
    </w:p>
    <w:p w14:paraId="1A2A0970">
      <w:pPr>
        <w:rPr>
          <w:rFonts w:ascii="宋体" w:hAnsi="宋体" w:eastAsia="宋体"/>
          <w:sz w:val="36"/>
          <w:szCs w:val="36"/>
        </w:rPr>
      </w:pPr>
      <w:r>
        <w:rPr>
          <w:rFonts w:hint="eastAsia" w:ascii="宋体" w:hAnsi="宋体" w:eastAsia="宋体"/>
          <w:sz w:val="36"/>
          <w:szCs w:val="36"/>
        </w:rPr>
        <w:t>第四部分 开标和评标</w:t>
      </w:r>
    </w:p>
    <w:p w14:paraId="59B8CFD9">
      <w:pPr>
        <w:rPr>
          <w:rFonts w:ascii="宋体" w:hAnsi="宋体" w:eastAsia="宋体"/>
          <w:sz w:val="36"/>
          <w:szCs w:val="36"/>
        </w:rPr>
      </w:pPr>
    </w:p>
    <w:p w14:paraId="220AA095">
      <w:pPr>
        <w:rPr>
          <w:rFonts w:ascii="宋体" w:hAnsi="宋体" w:eastAsia="宋体"/>
          <w:sz w:val="36"/>
          <w:szCs w:val="36"/>
        </w:rPr>
      </w:pPr>
      <w:r>
        <w:rPr>
          <w:rFonts w:hint="eastAsia" w:ascii="宋体" w:hAnsi="宋体" w:eastAsia="宋体"/>
          <w:sz w:val="36"/>
          <w:szCs w:val="36"/>
        </w:rPr>
        <w:t>第五部分 合同授予</w:t>
      </w:r>
    </w:p>
    <w:p w14:paraId="0CBF4B6C">
      <w:pPr>
        <w:rPr>
          <w:rFonts w:ascii="宋体" w:hAnsi="宋体" w:eastAsia="宋体"/>
          <w:sz w:val="36"/>
          <w:szCs w:val="36"/>
        </w:rPr>
      </w:pPr>
    </w:p>
    <w:p w14:paraId="21BD392A">
      <w:pPr>
        <w:rPr>
          <w:rFonts w:ascii="宋体" w:hAnsi="宋体" w:eastAsia="宋体"/>
          <w:sz w:val="36"/>
          <w:szCs w:val="36"/>
        </w:rPr>
      </w:pPr>
      <w:r>
        <w:rPr>
          <w:rFonts w:hint="eastAsia" w:ascii="宋体" w:hAnsi="宋体" w:eastAsia="宋体"/>
          <w:sz w:val="36"/>
          <w:szCs w:val="36"/>
        </w:rPr>
        <w:t>第六部分</w:t>
      </w:r>
      <w:r>
        <w:rPr>
          <w:rFonts w:ascii="宋体" w:hAnsi="宋体" w:eastAsia="宋体"/>
          <w:sz w:val="36"/>
          <w:szCs w:val="36"/>
        </w:rPr>
        <w:t xml:space="preserve"> </w:t>
      </w:r>
      <w:r>
        <w:rPr>
          <w:rFonts w:hint="eastAsia" w:ascii="宋体" w:hAnsi="宋体" w:eastAsia="宋体"/>
          <w:sz w:val="36"/>
          <w:szCs w:val="36"/>
        </w:rPr>
        <w:t>质疑提出和处理</w:t>
      </w:r>
    </w:p>
    <w:p w14:paraId="7346CC4F">
      <w:pPr>
        <w:pStyle w:val="2"/>
        <w:ind w:left="-141" w:leftChars="-67"/>
      </w:pPr>
    </w:p>
    <w:p w14:paraId="7E18DA8C">
      <w:pPr>
        <w:rPr>
          <w:rFonts w:ascii="宋体" w:hAnsi="宋体" w:eastAsia="宋体"/>
          <w:sz w:val="36"/>
          <w:szCs w:val="36"/>
        </w:rPr>
      </w:pPr>
      <w:r>
        <w:rPr>
          <w:rFonts w:hint="eastAsia" w:ascii="宋体" w:hAnsi="宋体" w:eastAsia="宋体"/>
          <w:sz w:val="36"/>
          <w:szCs w:val="36"/>
        </w:rPr>
        <w:t>第七部分 投标文件组成</w:t>
      </w:r>
    </w:p>
    <w:p w14:paraId="1A8523C6">
      <w:pPr>
        <w:jc w:val="center"/>
        <w:rPr>
          <w:rFonts w:ascii="宋体" w:hAnsi="宋体" w:eastAsia="宋体" w:cstheme="minorEastAsia"/>
          <w:sz w:val="36"/>
          <w:szCs w:val="36"/>
        </w:rPr>
      </w:pPr>
    </w:p>
    <w:p w14:paraId="00BA209A">
      <w:pPr>
        <w:jc w:val="center"/>
        <w:rPr>
          <w:rFonts w:ascii="宋体" w:hAnsi="宋体" w:eastAsia="宋体" w:cstheme="minorEastAsia"/>
          <w:sz w:val="36"/>
          <w:szCs w:val="36"/>
        </w:rPr>
      </w:pPr>
    </w:p>
    <w:p w14:paraId="7F8153DC">
      <w:pPr>
        <w:jc w:val="center"/>
        <w:rPr>
          <w:rFonts w:ascii="宋体" w:hAnsi="宋体" w:eastAsia="宋体" w:cstheme="minorEastAsia"/>
          <w:sz w:val="36"/>
          <w:szCs w:val="36"/>
        </w:rPr>
      </w:pPr>
    </w:p>
    <w:p w14:paraId="1F7B2DAA">
      <w:pPr>
        <w:jc w:val="center"/>
        <w:rPr>
          <w:rFonts w:ascii="宋体" w:hAnsi="宋体" w:eastAsia="宋体" w:cstheme="minorEastAsia"/>
          <w:sz w:val="36"/>
          <w:szCs w:val="36"/>
        </w:rPr>
      </w:pPr>
    </w:p>
    <w:p w14:paraId="539392D2">
      <w:pPr>
        <w:jc w:val="center"/>
        <w:rPr>
          <w:rFonts w:ascii="宋体" w:hAnsi="宋体" w:eastAsia="宋体" w:cstheme="minorEastAsia"/>
          <w:sz w:val="36"/>
          <w:szCs w:val="36"/>
        </w:rPr>
      </w:pPr>
    </w:p>
    <w:p w14:paraId="0F6732D6">
      <w:pPr>
        <w:rPr>
          <w:rFonts w:ascii="宋体" w:hAnsi="宋体" w:eastAsia="宋体" w:cstheme="minorEastAsia"/>
          <w:sz w:val="36"/>
          <w:szCs w:val="36"/>
        </w:rPr>
      </w:pPr>
    </w:p>
    <w:p w14:paraId="0515FE0F">
      <w:pPr>
        <w:jc w:val="center"/>
        <w:rPr>
          <w:rFonts w:asciiTheme="minorEastAsia" w:hAnsiTheme="minorEastAsia" w:cstheme="minorEastAsia"/>
          <w:sz w:val="24"/>
        </w:rPr>
      </w:pPr>
      <w:r>
        <w:rPr>
          <w:rFonts w:hint="eastAsia" w:ascii="宋体" w:hAnsi="宋体" w:eastAsia="宋体" w:cstheme="minorEastAsia"/>
          <w:sz w:val="36"/>
          <w:szCs w:val="36"/>
        </w:rPr>
        <w:t>第一部分 招标公告</w:t>
      </w:r>
    </w:p>
    <w:p w14:paraId="22E5200B">
      <w:pPr>
        <w:spacing w:line="60" w:lineRule="auto"/>
        <w:jc w:val="left"/>
        <w:rPr>
          <w:rFonts w:ascii="宋体" w:hAnsi="宋体" w:eastAsia="宋体" w:cs="黑体"/>
          <w:sz w:val="44"/>
          <w:szCs w:val="44"/>
        </w:rPr>
      </w:pPr>
      <w:r>
        <w:rPr>
          <w:rFonts w:hint="eastAsia" w:ascii="宋体" w:hAnsi="宋体" w:eastAsia="宋体" w:cstheme="minorEastAsia"/>
          <w:b/>
          <w:bCs/>
          <w:sz w:val="24"/>
        </w:rPr>
        <w:t>一、项目名称：</w:t>
      </w:r>
      <w:r>
        <w:rPr>
          <w:rFonts w:hint="eastAsia" w:ascii="宋体" w:hAnsi="宋体" w:eastAsia="宋体" w:cs="黑体"/>
          <w:sz w:val="24"/>
          <w:szCs w:val="24"/>
          <w:lang w:val="en-US" w:eastAsia="zh-CN"/>
        </w:rPr>
        <w:t>南通通湾旅游开发有限公司金石国际大酒店</w:t>
      </w:r>
      <w:r>
        <w:rPr>
          <w:rFonts w:hint="eastAsia" w:ascii="宋体" w:hAnsi="宋体" w:eastAsia="宋体" w:cs="黑体"/>
          <w:sz w:val="24"/>
          <w:szCs w:val="24"/>
        </w:rPr>
        <w:t>中央空调循环水处理服务项目</w:t>
      </w:r>
    </w:p>
    <w:p w14:paraId="6ACD796B">
      <w:pPr>
        <w:rPr>
          <w:rFonts w:hint="eastAsia" w:ascii="宋体" w:hAnsi="宋体" w:eastAsia="宋体" w:cstheme="minorEastAsia"/>
          <w:sz w:val="24"/>
          <w:lang w:val="en-US" w:eastAsia="zh-CN"/>
        </w:rPr>
      </w:pPr>
      <w:r>
        <w:rPr>
          <w:rFonts w:hint="eastAsia" w:ascii="宋体" w:hAnsi="宋体" w:eastAsia="宋体" w:cstheme="minorEastAsia"/>
          <w:b/>
          <w:bCs/>
          <w:sz w:val="24"/>
        </w:rPr>
        <w:t>二、项目地点：</w:t>
      </w:r>
      <w:r>
        <w:rPr>
          <w:rFonts w:hint="eastAsia" w:ascii="宋体" w:hAnsi="宋体" w:eastAsia="宋体" w:cstheme="minorEastAsia"/>
          <w:sz w:val="24"/>
        </w:rPr>
        <w:t>江苏省南通市</w:t>
      </w:r>
      <w:r>
        <w:rPr>
          <w:rFonts w:hint="eastAsia" w:ascii="宋体" w:hAnsi="宋体" w:eastAsia="宋体" w:cstheme="minorEastAsia"/>
          <w:sz w:val="24"/>
          <w:lang w:val="en-US" w:eastAsia="zh-CN"/>
        </w:rPr>
        <w:t>崇川区崇川路85号金石国际大酒店</w:t>
      </w:r>
    </w:p>
    <w:p w14:paraId="6AACAFD7">
      <w:pPr>
        <w:rPr>
          <w:rFonts w:ascii="宋体" w:hAnsi="宋体" w:eastAsia="宋体" w:cstheme="minorEastAsia"/>
          <w:b/>
          <w:bCs/>
          <w:sz w:val="24"/>
        </w:rPr>
      </w:pPr>
      <w:r>
        <w:rPr>
          <w:rFonts w:hint="eastAsia" w:ascii="宋体" w:hAnsi="宋体" w:eastAsia="宋体" w:cstheme="minorEastAsia"/>
          <w:b/>
          <w:bCs/>
          <w:sz w:val="24"/>
        </w:rPr>
        <w:t>三、项目预算：人民币</w:t>
      </w:r>
      <w:r>
        <w:rPr>
          <w:rFonts w:hint="eastAsia" w:ascii="宋体" w:hAnsi="宋体" w:eastAsia="宋体" w:cstheme="minorEastAsia"/>
          <w:b/>
          <w:bCs/>
          <w:sz w:val="24"/>
          <w:lang w:val="en-US" w:eastAsia="zh-CN"/>
        </w:rPr>
        <w:t>五</w:t>
      </w:r>
      <w:r>
        <w:rPr>
          <w:rFonts w:hint="eastAsia" w:ascii="宋体" w:hAnsi="宋体" w:eastAsia="宋体" w:cstheme="minorEastAsia"/>
          <w:b/>
          <w:bCs/>
          <w:sz w:val="24"/>
        </w:rPr>
        <w:t>万元（含税）</w:t>
      </w:r>
    </w:p>
    <w:p w14:paraId="7DE2B679">
      <w:pPr>
        <w:rPr>
          <w:rFonts w:ascii="宋体" w:hAnsi="宋体" w:eastAsia="宋体" w:cstheme="minorEastAsia"/>
          <w:sz w:val="24"/>
        </w:rPr>
      </w:pPr>
      <w:r>
        <w:rPr>
          <w:rFonts w:hint="eastAsia" w:ascii="宋体" w:hAnsi="宋体" w:eastAsia="宋体" w:cstheme="minorEastAsia"/>
          <w:b/>
          <w:bCs/>
          <w:sz w:val="24"/>
        </w:rPr>
        <w:t>四、项目需求：</w:t>
      </w:r>
      <w:r>
        <w:rPr>
          <w:rFonts w:hint="eastAsia" w:ascii="宋体" w:hAnsi="宋体" w:eastAsia="宋体" w:cstheme="minorEastAsia"/>
          <w:sz w:val="24"/>
        </w:rPr>
        <w:t>具体详见第三部分项目需求。</w:t>
      </w:r>
    </w:p>
    <w:p w14:paraId="7D7F4B52">
      <w:pPr>
        <w:rPr>
          <w:rFonts w:ascii="宋体" w:hAnsi="宋体" w:eastAsia="宋体" w:cstheme="minorEastAsia"/>
          <w:sz w:val="24"/>
        </w:rPr>
      </w:pPr>
      <w:r>
        <w:rPr>
          <w:rFonts w:hint="eastAsia" w:ascii="宋体" w:hAnsi="宋体" w:eastAsia="宋体" w:cstheme="minorEastAsia"/>
          <w:b/>
          <w:bCs/>
          <w:sz w:val="24"/>
        </w:rPr>
        <w:t>五、申请人的资格要求：</w:t>
      </w:r>
    </w:p>
    <w:p w14:paraId="1779834D">
      <w:pPr>
        <w:ind w:firstLine="480" w:firstLineChars="200"/>
        <w:rPr>
          <w:rFonts w:ascii="宋体" w:hAnsi="宋体" w:eastAsia="宋体" w:cs="宋体"/>
          <w:sz w:val="24"/>
        </w:rPr>
      </w:pPr>
      <w:r>
        <w:rPr>
          <w:rFonts w:ascii="宋体" w:hAnsi="宋体" w:eastAsia="宋体" w:cs="宋体"/>
          <w:sz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14:paraId="2BAED3DA">
      <w:pPr>
        <w:ind w:firstLine="480" w:firstLineChars="200"/>
        <w:rPr>
          <w:rFonts w:ascii="宋体" w:hAnsi="宋体" w:eastAsia="宋体" w:cs="宋体"/>
          <w:sz w:val="24"/>
        </w:rPr>
      </w:pPr>
      <w:r>
        <w:rPr>
          <w:rFonts w:hint="eastAsia" w:ascii="宋体" w:hAnsi="宋体" w:eastAsia="宋体" w:cs="宋体"/>
          <w:sz w:val="24"/>
        </w:rPr>
        <w:t>具体如下：</w:t>
      </w:r>
    </w:p>
    <w:p w14:paraId="6D02127B">
      <w:pPr>
        <w:ind w:firstLine="480" w:firstLineChars="200"/>
        <w:rPr>
          <w:rFonts w:ascii="宋体" w:hAnsi="宋体" w:eastAsia="宋体" w:cs="宋体"/>
          <w:sz w:val="24"/>
        </w:rPr>
      </w:pPr>
      <w:r>
        <w:rPr>
          <w:rFonts w:hint="eastAsia" w:ascii="宋体" w:hAnsi="宋体" w:eastAsia="宋体" w:cs="宋体"/>
          <w:sz w:val="24"/>
        </w:rPr>
        <w:t>（</w:t>
      </w:r>
      <w:r>
        <w:rPr>
          <w:rFonts w:ascii="宋体" w:hAnsi="宋体" w:eastAsia="宋体" w:cs="宋体"/>
          <w:sz w:val="24"/>
        </w:rPr>
        <w:t>1）投标人必须具有独立法人资格，须提供投标人的企业法人营业执照复印件、税务登记证副本复印件；或三证合一的营业执照复印件；</w:t>
      </w:r>
    </w:p>
    <w:p w14:paraId="038BF30C">
      <w:pPr>
        <w:ind w:firstLine="480" w:firstLineChars="200"/>
        <w:rPr>
          <w:rFonts w:ascii="宋体" w:hAnsi="宋体" w:eastAsia="宋体" w:cs="宋体"/>
          <w:sz w:val="24"/>
        </w:rPr>
      </w:pPr>
      <w:r>
        <w:rPr>
          <w:rFonts w:hint="eastAsia" w:ascii="宋体" w:hAnsi="宋体" w:eastAsia="宋体" w:cs="宋体"/>
          <w:sz w:val="24"/>
        </w:rPr>
        <w:t>（</w:t>
      </w:r>
      <w:r>
        <w:rPr>
          <w:rFonts w:ascii="宋体" w:hAnsi="宋体" w:eastAsia="宋体" w:cs="宋体"/>
          <w:sz w:val="24"/>
        </w:rPr>
        <w:t>2）投标人法定代表人参加投标的，必须提供法定代表人身份证明（格式见第七章）及法定代表人本人身份证复印件；非法定代表人参加投标的，必须提供法定代表人签字或盖章的授权委托书（格式见第七章）及法定代表人、被授权人的两人身份证的复印件。</w:t>
      </w:r>
    </w:p>
    <w:p w14:paraId="2AF7B84D">
      <w:pPr>
        <w:ind w:firstLine="480" w:firstLineChars="200"/>
        <w:rPr>
          <w:rFonts w:ascii="宋体" w:hAnsi="宋体" w:eastAsia="宋体" w:cs="宋体"/>
          <w:sz w:val="24"/>
        </w:rPr>
      </w:pPr>
      <w:r>
        <w:rPr>
          <w:rFonts w:hint="eastAsia" w:ascii="宋体" w:hAnsi="宋体" w:eastAsia="宋体" w:cs="宋体"/>
          <w:sz w:val="24"/>
        </w:rPr>
        <w:t>（</w:t>
      </w:r>
      <w:r>
        <w:rPr>
          <w:rFonts w:ascii="宋体" w:hAnsi="宋体" w:eastAsia="宋体" w:cs="宋体"/>
          <w:sz w:val="24"/>
        </w:rPr>
        <w:t>3）投标人须提供参与本次项目采购活动前三年内在经营活动中没有重大违法记录的书面《无重大违法记录声明函》（格式见第七章）。</w:t>
      </w:r>
    </w:p>
    <w:p w14:paraId="7C662A80">
      <w:pPr>
        <w:rPr>
          <w:rFonts w:ascii="宋体" w:hAnsi="宋体" w:eastAsia="宋体" w:cstheme="minorEastAsia"/>
          <w:b/>
          <w:bCs/>
          <w:sz w:val="24"/>
        </w:rPr>
      </w:pPr>
      <w:r>
        <w:rPr>
          <w:rFonts w:hint="eastAsia" w:ascii="宋体" w:hAnsi="宋体" w:eastAsia="宋体" w:cstheme="minorEastAsia"/>
          <w:b/>
          <w:bCs/>
          <w:sz w:val="24"/>
        </w:rPr>
        <w:t>六、招标文件的获取</w:t>
      </w:r>
    </w:p>
    <w:p w14:paraId="76796A1B">
      <w:pPr>
        <w:ind w:firstLine="482" w:firstLineChars="200"/>
        <w:rPr>
          <w:rFonts w:ascii="宋体" w:hAnsi="宋体" w:eastAsia="宋体" w:cstheme="minorEastAsia"/>
          <w:b/>
          <w:bCs/>
          <w:sz w:val="24"/>
        </w:rPr>
      </w:pPr>
      <w:r>
        <w:rPr>
          <w:rFonts w:hint="eastAsia" w:ascii="宋体" w:hAnsi="宋体" w:eastAsia="宋体" w:cstheme="minorEastAsia"/>
          <w:b/>
          <w:bCs/>
          <w:sz w:val="24"/>
        </w:rPr>
        <w:t>1、获取时间：自本招标发布之日起。</w:t>
      </w:r>
    </w:p>
    <w:p w14:paraId="2AE88685">
      <w:pPr>
        <w:ind w:firstLine="482" w:firstLineChars="200"/>
        <w:rPr>
          <w:rFonts w:ascii="宋体" w:hAnsi="宋体" w:eastAsia="宋体" w:cstheme="minorEastAsia"/>
          <w:b/>
          <w:bCs/>
          <w:sz w:val="24"/>
        </w:rPr>
      </w:pPr>
      <w:r>
        <w:rPr>
          <w:rFonts w:hint="eastAsia" w:ascii="宋体" w:hAnsi="宋体" w:eastAsia="宋体" w:cstheme="minorEastAsia"/>
          <w:b/>
          <w:bCs/>
          <w:sz w:val="24"/>
        </w:rPr>
        <w:t>2、获取方式：</w:t>
      </w:r>
      <w:r>
        <w:rPr>
          <w:rFonts w:hint="eastAsia" w:ascii="宋体" w:hAnsi="宋体" w:eastAsia="宋体" w:cstheme="minorEastAsia"/>
          <w:b/>
          <w:bCs/>
          <w:sz w:val="24"/>
          <w:lang w:val="en-US" w:eastAsia="zh-CN"/>
        </w:rPr>
        <w:t>沿海集团官网http://www.ncd-group.com/</w:t>
      </w:r>
      <w:r>
        <w:rPr>
          <w:rFonts w:hint="eastAsia" w:ascii="宋体" w:hAnsi="宋体" w:eastAsia="宋体" w:cstheme="minorEastAsia"/>
          <w:b/>
          <w:bCs/>
          <w:sz w:val="24"/>
        </w:rPr>
        <w:t>。</w:t>
      </w:r>
    </w:p>
    <w:p w14:paraId="357D67C5">
      <w:pPr>
        <w:rPr>
          <w:rFonts w:ascii="宋体" w:hAnsi="宋体" w:eastAsia="宋体" w:cstheme="minorEastAsia"/>
          <w:b/>
          <w:bCs/>
          <w:sz w:val="24"/>
        </w:rPr>
      </w:pPr>
      <w:r>
        <w:rPr>
          <w:rFonts w:hint="eastAsia" w:ascii="宋体" w:hAnsi="宋体" w:eastAsia="宋体" w:cstheme="minorEastAsia"/>
          <w:b/>
          <w:bCs/>
          <w:sz w:val="24"/>
        </w:rPr>
        <w:t>七、投标文件的递交</w:t>
      </w:r>
    </w:p>
    <w:p w14:paraId="2702C709">
      <w:pPr>
        <w:adjustRightInd w:val="0"/>
        <w:snapToGrid w:val="0"/>
        <w:ind w:firstLine="480" w:firstLineChars="200"/>
        <w:rPr>
          <w:rFonts w:ascii="宋体" w:hAnsi="宋体" w:eastAsia="宋体" w:cstheme="minorEastAsia"/>
          <w:sz w:val="24"/>
        </w:rPr>
      </w:pPr>
      <w:r>
        <w:rPr>
          <w:rFonts w:hint="eastAsia" w:ascii="宋体" w:hAnsi="宋体" w:eastAsia="宋体" w:cstheme="minorEastAsia"/>
          <w:sz w:val="24"/>
        </w:rPr>
        <w:t>1、递交投标文件截止时间</w:t>
      </w:r>
      <w:r>
        <w:rPr>
          <w:rFonts w:hint="eastAsia" w:ascii="宋体" w:hAnsi="宋体" w:eastAsia="宋体" w:cstheme="minorEastAsia"/>
          <w:b/>
          <w:bCs/>
          <w:sz w:val="24"/>
          <w:u w:val="single"/>
        </w:rPr>
        <w:t>202</w:t>
      </w:r>
      <w:r>
        <w:rPr>
          <w:rFonts w:ascii="宋体" w:hAnsi="宋体" w:eastAsia="宋体" w:cstheme="minorEastAsia"/>
          <w:b/>
          <w:bCs/>
          <w:sz w:val="24"/>
          <w:u w:val="single"/>
        </w:rPr>
        <w:t>5</w:t>
      </w:r>
      <w:r>
        <w:rPr>
          <w:rFonts w:hint="eastAsia" w:ascii="宋体" w:hAnsi="宋体" w:eastAsia="宋体" w:cstheme="minorEastAsia"/>
          <w:b/>
          <w:bCs/>
          <w:sz w:val="24"/>
          <w:u w:val="single"/>
        </w:rPr>
        <w:t>年</w:t>
      </w:r>
      <w:r>
        <w:rPr>
          <w:rFonts w:ascii="宋体" w:hAnsi="宋体" w:eastAsia="宋体" w:cstheme="minorEastAsia"/>
          <w:b/>
          <w:bCs/>
          <w:sz w:val="24"/>
          <w:u w:val="single"/>
        </w:rPr>
        <w:t>8</w:t>
      </w:r>
      <w:r>
        <w:rPr>
          <w:rFonts w:hint="eastAsia" w:ascii="宋体" w:hAnsi="宋体" w:eastAsia="宋体" w:cstheme="minorEastAsia"/>
          <w:b/>
          <w:bCs/>
          <w:sz w:val="24"/>
          <w:u w:val="single"/>
        </w:rPr>
        <w:t>月</w:t>
      </w:r>
      <w:r>
        <w:rPr>
          <w:rFonts w:hint="eastAsia" w:ascii="宋体" w:hAnsi="宋体" w:eastAsia="宋体" w:cstheme="minorEastAsia"/>
          <w:b/>
          <w:bCs/>
          <w:sz w:val="24"/>
          <w:u w:val="single"/>
          <w:lang w:val="en-US" w:eastAsia="zh-CN"/>
        </w:rPr>
        <w:t>30</w:t>
      </w:r>
      <w:r>
        <w:rPr>
          <w:rFonts w:hint="eastAsia" w:ascii="宋体" w:hAnsi="宋体" w:eastAsia="宋体" w:cstheme="minorEastAsia"/>
          <w:b/>
          <w:bCs/>
          <w:sz w:val="24"/>
          <w:u w:val="single"/>
        </w:rPr>
        <w:t>日</w:t>
      </w:r>
      <w:r>
        <w:rPr>
          <w:rFonts w:ascii="宋体" w:hAnsi="宋体" w:eastAsia="宋体" w:cstheme="minorEastAsia"/>
          <w:b/>
          <w:bCs/>
          <w:sz w:val="24"/>
          <w:u w:val="single"/>
        </w:rPr>
        <w:t>12</w:t>
      </w:r>
      <w:r>
        <w:rPr>
          <w:rFonts w:hint="eastAsia" w:ascii="宋体" w:hAnsi="宋体" w:eastAsia="宋体" w:cstheme="minorEastAsia"/>
          <w:b/>
          <w:bCs/>
          <w:sz w:val="24"/>
          <w:u w:val="single"/>
        </w:rPr>
        <w:t>时</w:t>
      </w:r>
      <w:r>
        <w:rPr>
          <w:rFonts w:ascii="宋体" w:hAnsi="宋体" w:eastAsia="宋体" w:cstheme="minorEastAsia"/>
          <w:b/>
          <w:bCs/>
          <w:sz w:val="24"/>
          <w:u w:val="single"/>
        </w:rPr>
        <w:t>00</w:t>
      </w:r>
      <w:r>
        <w:rPr>
          <w:rFonts w:hint="eastAsia" w:ascii="宋体" w:hAnsi="宋体" w:eastAsia="宋体" w:cstheme="minorEastAsia"/>
          <w:b/>
          <w:bCs/>
          <w:sz w:val="24"/>
          <w:u w:val="single"/>
        </w:rPr>
        <w:t>分，</w:t>
      </w:r>
    </w:p>
    <w:p w14:paraId="4C4E5650">
      <w:pPr>
        <w:rPr>
          <w:rFonts w:hint="default" w:ascii="宋体" w:hAnsi="宋体" w:eastAsia="宋体" w:cstheme="minorEastAsia"/>
          <w:sz w:val="24"/>
          <w:lang w:val="en-US" w:eastAsia="zh-CN"/>
        </w:rPr>
      </w:pPr>
      <w:r>
        <w:rPr>
          <w:rFonts w:hint="eastAsia" w:ascii="宋体" w:hAnsi="宋体" w:eastAsia="宋体" w:cstheme="minorEastAsia"/>
          <w:sz w:val="24"/>
        </w:rPr>
        <w:t>江苏省南通市</w:t>
      </w:r>
      <w:r>
        <w:rPr>
          <w:rFonts w:hint="eastAsia" w:ascii="宋体" w:hAnsi="宋体" w:eastAsia="宋体" w:cstheme="minorEastAsia"/>
          <w:sz w:val="24"/>
          <w:lang w:val="en-US" w:eastAsia="zh-CN"/>
        </w:rPr>
        <w:t>崇川区崇川路85号金石国际大酒店采购部</w:t>
      </w:r>
    </w:p>
    <w:p w14:paraId="2FABA374">
      <w:pPr>
        <w:adjustRightInd w:val="0"/>
        <w:snapToGrid w:val="0"/>
        <w:ind w:firstLine="480" w:firstLineChars="200"/>
        <w:rPr>
          <w:rFonts w:ascii="宋体" w:hAnsi="宋体" w:eastAsia="宋体" w:cstheme="minorEastAsia"/>
          <w:sz w:val="24"/>
        </w:rPr>
      </w:pPr>
      <w:r>
        <w:rPr>
          <w:rFonts w:hint="eastAsia" w:ascii="宋体" w:hAnsi="宋体" w:eastAsia="宋体" w:cstheme="minorEastAsia"/>
          <w:sz w:val="24"/>
        </w:rPr>
        <w:t>2、逾期送达或者未送达指定地点的投标文件，招标人不予受理。</w:t>
      </w:r>
    </w:p>
    <w:p w14:paraId="66AA5681">
      <w:pPr>
        <w:rPr>
          <w:rFonts w:ascii="宋体" w:hAnsi="宋体" w:eastAsia="宋体" w:cstheme="minorEastAsia"/>
          <w:b/>
          <w:bCs/>
          <w:sz w:val="24"/>
        </w:rPr>
      </w:pPr>
      <w:r>
        <w:rPr>
          <w:rFonts w:hint="eastAsia" w:ascii="宋体" w:hAnsi="宋体" w:eastAsia="宋体" w:cstheme="minorEastAsia"/>
          <w:b/>
          <w:bCs/>
          <w:sz w:val="24"/>
        </w:rPr>
        <w:t>八、评标办法</w:t>
      </w:r>
    </w:p>
    <w:p w14:paraId="2FC58A00">
      <w:pPr>
        <w:ind w:firstLine="480" w:firstLineChars="200"/>
        <w:rPr>
          <w:rFonts w:ascii="宋体" w:hAnsi="宋体" w:eastAsia="宋体" w:cstheme="minorEastAsia"/>
          <w:sz w:val="24"/>
        </w:rPr>
      </w:pPr>
      <w:r>
        <w:rPr>
          <w:rFonts w:hint="eastAsia" w:ascii="宋体" w:hAnsi="宋体" w:eastAsia="宋体" w:cstheme="minorEastAsia"/>
          <w:sz w:val="24"/>
        </w:rPr>
        <w:t>评标办法采用价格单因素</w:t>
      </w:r>
      <w:r>
        <w:rPr>
          <w:rFonts w:hint="eastAsia" w:ascii="宋体" w:hAnsi="宋体" w:eastAsia="宋体" w:cstheme="minorEastAsia"/>
          <w:sz w:val="24"/>
          <w:lang w:eastAsia="zh-CN"/>
        </w:rPr>
        <w:t>，</w:t>
      </w:r>
      <w:r>
        <w:rPr>
          <w:rFonts w:hint="eastAsia" w:ascii="宋体" w:hAnsi="宋体" w:eastAsia="宋体" w:cstheme="minorEastAsia"/>
          <w:sz w:val="24"/>
          <w:lang w:val="en-US" w:eastAsia="zh-CN"/>
        </w:rPr>
        <w:t>最低价中标</w:t>
      </w:r>
      <w:r>
        <w:rPr>
          <w:rFonts w:hint="eastAsia" w:ascii="宋体" w:hAnsi="宋体" w:eastAsia="宋体" w:cstheme="minorEastAsia"/>
          <w:sz w:val="24"/>
        </w:rPr>
        <w:t>。</w:t>
      </w:r>
    </w:p>
    <w:p w14:paraId="484BF47F">
      <w:pPr>
        <w:rPr>
          <w:rFonts w:ascii="宋体" w:hAnsi="宋体" w:eastAsia="宋体" w:cstheme="minorEastAsia"/>
          <w:b/>
          <w:bCs/>
          <w:sz w:val="24"/>
        </w:rPr>
      </w:pPr>
      <w:r>
        <w:rPr>
          <w:rFonts w:hint="eastAsia" w:ascii="宋体" w:hAnsi="宋体" w:eastAsia="宋体" w:cstheme="minorEastAsia"/>
          <w:b/>
          <w:bCs/>
          <w:sz w:val="24"/>
        </w:rPr>
        <w:t>九、联系方式</w:t>
      </w:r>
    </w:p>
    <w:p w14:paraId="24EF8574">
      <w:pPr>
        <w:ind w:firstLine="960" w:firstLineChars="400"/>
        <w:rPr>
          <w:rFonts w:ascii="宋体" w:hAnsi="宋体" w:eastAsia="宋体" w:cstheme="minorEastAsia"/>
          <w:sz w:val="24"/>
        </w:rPr>
      </w:pPr>
      <w:r>
        <w:rPr>
          <w:rFonts w:hint="eastAsia" w:ascii="宋体" w:hAnsi="宋体" w:eastAsia="宋体" w:cstheme="minorEastAsia"/>
          <w:sz w:val="24"/>
        </w:rPr>
        <w:t>招标人：江苏省南通市</w:t>
      </w:r>
      <w:r>
        <w:rPr>
          <w:rFonts w:hint="eastAsia" w:ascii="宋体" w:hAnsi="宋体" w:eastAsia="宋体" w:cstheme="minorEastAsia"/>
          <w:sz w:val="24"/>
          <w:lang w:val="en-US" w:eastAsia="zh-CN"/>
        </w:rPr>
        <w:t>崇川区崇川路85号金石国际大酒店</w:t>
      </w:r>
    </w:p>
    <w:p w14:paraId="13DF7A67">
      <w:pPr>
        <w:ind w:firstLine="960" w:firstLineChars="400"/>
        <w:rPr>
          <w:rFonts w:ascii="宋体" w:hAnsi="宋体" w:eastAsia="宋体" w:cstheme="minorEastAsia"/>
          <w:sz w:val="24"/>
        </w:rPr>
      </w:pPr>
      <w:r>
        <w:rPr>
          <w:rFonts w:hint="eastAsia" w:ascii="宋体" w:hAnsi="宋体" w:eastAsia="宋体" w:cstheme="minorEastAsia"/>
          <w:sz w:val="24"/>
        </w:rPr>
        <w:t>联系人：</w:t>
      </w:r>
      <w:r>
        <w:rPr>
          <w:rFonts w:hint="eastAsia" w:ascii="宋体" w:hAnsi="宋体" w:eastAsia="宋体" w:cstheme="minorEastAsia"/>
          <w:sz w:val="24"/>
          <w:lang w:val="en-US" w:eastAsia="zh-CN"/>
        </w:rPr>
        <w:t>郭先生18006299119</w:t>
      </w:r>
      <w:r>
        <w:rPr>
          <w:rFonts w:hint="eastAsia" w:ascii="宋体" w:hAnsi="宋体" w:eastAsia="宋体" w:cstheme="minorEastAsia"/>
          <w:sz w:val="24"/>
        </w:rPr>
        <w:t xml:space="preserve">        </w:t>
      </w:r>
    </w:p>
    <w:p w14:paraId="7F676AED">
      <w:pPr>
        <w:rPr>
          <w:rFonts w:ascii="宋体" w:hAnsi="宋体" w:eastAsia="宋体" w:cstheme="minorEastAsia"/>
          <w:sz w:val="24"/>
        </w:rPr>
      </w:pPr>
    </w:p>
    <w:p w14:paraId="3D7DF810">
      <w:pPr>
        <w:rPr>
          <w:rFonts w:ascii="宋体" w:hAnsi="宋体" w:eastAsia="宋体" w:cstheme="minorEastAsia"/>
          <w:sz w:val="24"/>
        </w:rPr>
      </w:pPr>
    </w:p>
    <w:p w14:paraId="24A2624B">
      <w:pPr>
        <w:pStyle w:val="3"/>
        <w:rPr>
          <w:rFonts w:ascii="宋体" w:hAnsi="宋体" w:eastAsia="宋体" w:cstheme="minorEastAsia"/>
          <w:sz w:val="24"/>
        </w:rPr>
      </w:pPr>
    </w:p>
    <w:p w14:paraId="04A1A0FB">
      <w:pPr>
        <w:pStyle w:val="3"/>
      </w:pPr>
    </w:p>
    <w:p w14:paraId="47A96678">
      <w:pPr>
        <w:pStyle w:val="3"/>
      </w:pPr>
    </w:p>
    <w:p w14:paraId="48CCE6A8">
      <w:pPr>
        <w:pStyle w:val="3"/>
      </w:pPr>
    </w:p>
    <w:p w14:paraId="77B9856F">
      <w:pPr>
        <w:pStyle w:val="3"/>
      </w:pPr>
    </w:p>
    <w:p w14:paraId="2340DB54">
      <w:pPr>
        <w:pStyle w:val="3"/>
      </w:pPr>
    </w:p>
    <w:p w14:paraId="0A2ADD7E">
      <w:pPr>
        <w:pStyle w:val="3"/>
      </w:pPr>
    </w:p>
    <w:p w14:paraId="297FD230">
      <w:pPr>
        <w:pStyle w:val="3"/>
      </w:pPr>
    </w:p>
    <w:p w14:paraId="27AF43BF">
      <w:pPr>
        <w:pStyle w:val="3"/>
      </w:pPr>
    </w:p>
    <w:p w14:paraId="09C6B4BB">
      <w:pPr>
        <w:pStyle w:val="3"/>
      </w:pPr>
    </w:p>
    <w:p w14:paraId="27102235">
      <w:pPr>
        <w:jc w:val="center"/>
        <w:rPr>
          <w:rFonts w:ascii="宋体" w:hAnsi="宋体" w:eastAsia="宋体" w:cstheme="minorEastAsia"/>
          <w:sz w:val="36"/>
          <w:szCs w:val="36"/>
        </w:rPr>
      </w:pPr>
      <w:r>
        <w:rPr>
          <w:rFonts w:hint="eastAsia" w:ascii="宋体" w:hAnsi="宋体" w:eastAsia="宋体" w:cstheme="minorEastAsia"/>
          <w:sz w:val="36"/>
          <w:szCs w:val="36"/>
        </w:rPr>
        <w:t>第二部分  投标人须知</w:t>
      </w:r>
    </w:p>
    <w:p w14:paraId="30FD0E8A">
      <w:pPr>
        <w:rPr>
          <w:rFonts w:ascii="宋体" w:hAnsi="宋体" w:eastAsia="宋体" w:cstheme="minorEastAsia"/>
          <w:b/>
          <w:bCs/>
          <w:sz w:val="24"/>
        </w:rPr>
      </w:pPr>
      <w:r>
        <w:rPr>
          <w:rFonts w:hint="eastAsia" w:ascii="宋体" w:hAnsi="宋体" w:eastAsia="宋体" w:cstheme="minorEastAsia"/>
          <w:b/>
          <w:bCs/>
          <w:sz w:val="24"/>
        </w:rPr>
        <w:t>一、说明</w:t>
      </w:r>
    </w:p>
    <w:p w14:paraId="7723A251">
      <w:pPr>
        <w:ind w:firstLine="480" w:firstLineChars="200"/>
        <w:rPr>
          <w:rFonts w:ascii="宋体" w:hAnsi="宋体" w:eastAsia="宋体" w:cstheme="minorEastAsia"/>
          <w:sz w:val="24"/>
        </w:rPr>
      </w:pPr>
      <w:r>
        <w:rPr>
          <w:rFonts w:ascii="宋体" w:hAnsi="宋体" w:eastAsia="宋体" w:cstheme="minorEastAsia"/>
          <w:sz w:val="24"/>
        </w:rPr>
        <w:t>1、投标人获取招标文件后，应仔细检查招标文件的所有内容，如对采购活动事项有疑问的，应在获取招标文件开始之日起5日内以书面形式提出询问或疑问，未在规定的时间内提出询问或疑问的，视同投标人理解并接受本招标文件所有内容，并由此引起的投标损失自负。</w:t>
      </w:r>
    </w:p>
    <w:p w14:paraId="2D16E3A1">
      <w:pPr>
        <w:ind w:firstLine="480" w:firstLineChars="200"/>
        <w:rPr>
          <w:rFonts w:ascii="宋体" w:hAnsi="宋体" w:eastAsia="宋体" w:cstheme="minorEastAsia"/>
          <w:sz w:val="24"/>
        </w:rPr>
      </w:pPr>
      <w:r>
        <w:rPr>
          <w:rFonts w:ascii="宋体" w:hAnsi="宋体" w:eastAsia="宋体" w:cstheme="minorEastAsia"/>
          <w:sz w:val="24"/>
        </w:rPr>
        <w:t>2、投标人应认真审阅招标文件中所有的事项、格式、条款和规范要求等，如果投标人没有按照招标文件要求提交投标文件，或者投标文件没有对招标文件做出实质性响应，其投标将被拒绝，投标人自行承担责任。</w:t>
      </w:r>
    </w:p>
    <w:p w14:paraId="62276809">
      <w:pPr>
        <w:rPr>
          <w:rFonts w:ascii="宋体" w:hAnsi="宋体" w:eastAsia="宋体" w:cstheme="minorEastAsia"/>
          <w:sz w:val="24"/>
        </w:rPr>
      </w:pPr>
      <w:r>
        <w:rPr>
          <w:rFonts w:hint="eastAsia" w:ascii="宋体" w:hAnsi="宋体" w:eastAsia="宋体" w:cstheme="minorEastAsia"/>
          <w:b/>
          <w:bCs/>
          <w:sz w:val="24"/>
        </w:rPr>
        <w:t>二、招标文件的补充说明、澄清、修改、答疑</w:t>
      </w:r>
    </w:p>
    <w:p w14:paraId="1CCF053A">
      <w:pPr>
        <w:ind w:firstLine="480" w:firstLineChars="200"/>
        <w:rPr>
          <w:rFonts w:ascii="宋体" w:hAnsi="宋体" w:eastAsia="宋体" w:cstheme="minorEastAsia"/>
          <w:sz w:val="24"/>
        </w:rPr>
      </w:pPr>
      <w:r>
        <w:rPr>
          <w:rFonts w:ascii="宋体" w:hAnsi="宋体" w:eastAsia="宋体" w:cstheme="minorEastAsia"/>
          <w:sz w:val="24"/>
        </w:rPr>
        <w:t>1、招标人有权对发出的招标文件进行必要的澄清或修改。</w:t>
      </w:r>
    </w:p>
    <w:p w14:paraId="4D084162">
      <w:pPr>
        <w:ind w:firstLine="480" w:firstLineChars="200"/>
        <w:rPr>
          <w:rFonts w:ascii="宋体" w:hAnsi="宋体" w:eastAsia="宋体" w:cstheme="minorEastAsia"/>
          <w:sz w:val="24"/>
        </w:rPr>
      </w:pPr>
      <w:r>
        <w:rPr>
          <w:rFonts w:ascii="宋体" w:hAnsi="宋体" w:eastAsia="宋体" w:cstheme="minorEastAsia"/>
          <w:sz w:val="24"/>
        </w:rPr>
        <w:t>2、招标人可视情取消、延长相关时间。</w:t>
      </w:r>
    </w:p>
    <w:p w14:paraId="50C13919">
      <w:pPr>
        <w:ind w:firstLine="480" w:firstLineChars="200"/>
        <w:rPr>
          <w:rFonts w:ascii="宋体" w:hAnsi="宋体" w:eastAsia="宋体" w:cstheme="minorEastAsia"/>
          <w:sz w:val="24"/>
        </w:rPr>
      </w:pPr>
      <w:r>
        <w:rPr>
          <w:rFonts w:ascii="宋体" w:hAnsi="宋体" w:eastAsia="宋体" w:cstheme="minorEastAsia"/>
          <w:sz w:val="24"/>
        </w:rPr>
        <w:t>3、招标人对招标文件的澄清、修改将构成招标文件的一部分，对投标人具有约束力。</w:t>
      </w:r>
    </w:p>
    <w:p w14:paraId="1FB84E86">
      <w:pPr>
        <w:ind w:firstLine="480" w:firstLineChars="200"/>
        <w:rPr>
          <w:rFonts w:ascii="宋体" w:hAnsi="宋体" w:eastAsia="宋体" w:cstheme="minorEastAsia"/>
          <w:sz w:val="24"/>
        </w:rPr>
      </w:pPr>
      <w:r>
        <w:rPr>
          <w:rFonts w:ascii="宋体" w:hAnsi="宋体" w:eastAsia="宋体" w:cstheme="minorEastAsia"/>
          <w:sz w:val="24"/>
        </w:rPr>
        <w:t>4、投标人由于对招标文件的任何推论和误解以及采购人对有关问题的口头解释所造成的后果，均由投标人自负。</w:t>
      </w:r>
    </w:p>
    <w:p w14:paraId="7CA9275E">
      <w:pPr>
        <w:ind w:firstLine="480" w:firstLineChars="200"/>
        <w:rPr>
          <w:rFonts w:ascii="宋体" w:hAnsi="宋体" w:eastAsia="宋体" w:cstheme="minorEastAsia"/>
          <w:sz w:val="24"/>
        </w:rPr>
      </w:pPr>
      <w:r>
        <w:rPr>
          <w:rFonts w:ascii="宋体" w:hAnsi="宋体" w:eastAsia="宋体" w:cstheme="minorEastAsia"/>
          <w:sz w:val="24"/>
        </w:rPr>
        <w:t>5、采购人不组织答疑会。</w:t>
      </w:r>
    </w:p>
    <w:p w14:paraId="0058464D">
      <w:pPr>
        <w:rPr>
          <w:rFonts w:ascii="宋体" w:hAnsi="宋体" w:eastAsia="宋体" w:cstheme="minorEastAsia"/>
          <w:b/>
          <w:bCs/>
          <w:sz w:val="24"/>
        </w:rPr>
      </w:pPr>
      <w:r>
        <w:rPr>
          <w:rFonts w:hint="eastAsia" w:ascii="宋体" w:hAnsi="宋体" w:eastAsia="宋体" w:cstheme="minorEastAsia"/>
          <w:b/>
          <w:bCs/>
          <w:sz w:val="24"/>
        </w:rPr>
        <w:t>三、招标项目要求</w:t>
      </w:r>
    </w:p>
    <w:p w14:paraId="558DA2E8">
      <w:pPr>
        <w:ind w:firstLine="480" w:firstLineChars="200"/>
        <w:rPr>
          <w:rFonts w:ascii="宋体" w:hAnsi="宋体" w:eastAsia="宋体" w:cstheme="minorEastAsia"/>
          <w:sz w:val="24"/>
        </w:rPr>
      </w:pPr>
      <w:r>
        <w:rPr>
          <w:rFonts w:ascii="宋体" w:hAnsi="宋体" w:eastAsia="宋体" w:cstheme="minorEastAsia"/>
          <w:sz w:val="24"/>
        </w:rPr>
        <w:t>1</w:t>
      </w:r>
      <w:r>
        <w:rPr>
          <w:rFonts w:hint="eastAsia" w:ascii="宋体" w:hAnsi="宋体" w:eastAsia="宋体" w:cstheme="minorEastAsia"/>
          <w:sz w:val="24"/>
        </w:rPr>
        <w:t>、价格为人民币报价，包括人工费、运费、设计费、保险等等项目内的</w:t>
      </w:r>
      <w:r>
        <w:rPr>
          <w:rFonts w:hint="eastAsia" w:ascii="宋体" w:hAnsi="宋体" w:eastAsia="宋体" w:cstheme="minorEastAsia"/>
          <w:sz w:val="24"/>
          <w:lang w:val="en-US" w:eastAsia="zh-CN"/>
        </w:rPr>
        <w:t>所有</w:t>
      </w:r>
      <w:r>
        <w:rPr>
          <w:rFonts w:hint="eastAsia" w:ascii="宋体" w:hAnsi="宋体" w:eastAsia="宋体" w:cstheme="minorEastAsia"/>
          <w:sz w:val="24"/>
        </w:rPr>
        <w:t>费用。</w:t>
      </w:r>
    </w:p>
    <w:p w14:paraId="35AF7B32">
      <w:pPr>
        <w:ind w:firstLine="480" w:firstLineChars="200"/>
        <w:rPr>
          <w:rFonts w:ascii="宋体" w:hAnsi="宋体" w:eastAsia="宋体" w:cstheme="minorEastAsia"/>
          <w:sz w:val="24"/>
        </w:rPr>
      </w:pPr>
      <w:r>
        <w:rPr>
          <w:rFonts w:ascii="宋体" w:hAnsi="宋体" w:eastAsia="宋体" w:cstheme="minorEastAsia"/>
          <w:sz w:val="24"/>
        </w:rPr>
        <w:t>2</w:t>
      </w:r>
      <w:r>
        <w:rPr>
          <w:rFonts w:hint="eastAsia" w:ascii="宋体" w:hAnsi="宋体" w:eastAsia="宋体" w:cstheme="minorEastAsia"/>
          <w:sz w:val="24"/>
        </w:rPr>
        <w:t>、具体合同执行日期以酒店采购部通知为准，酒店采购部将会提前三个工作日通知中标单位。</w:t>
      </w:r>
    </w:p>
    <w:p w14:paraId="2815F805">
      <w:pPr>
        <w:ind w:firstLine="480" w:firstLineChars="200"/>
        <w:rPr>
          <w:rFonts w:ascii="宋体" w:hAnsi="宋体" w:eastAsia="宋体" w:cstheme="minorEastAsia"/>
          <w:sz w:val="24"/>
        </w:rPr>
      </w:pPr>
      <w:r>
        <w:rPr>
          <w:rFonts w:ascii="宋体" w:hAnsi="宋体" w:eastAsia="宋体" w:cstheme="minorEastAsia"/>
          <w:sz w:val="24"/>
        </w:rPr>
        <w:t>3</w:t>
      </w:r>
      <w:r>
        <w:rPr>
          <w:rFonts w:hint="eastAsia" w:ascii="宋体" w:hAnsi="宋体" w:eastAsia="宋体" w:cstheme="minorEastAsia"/>
          <w:sz w:val="24"/>
        </w:rPr>
        <w:t>、执行日期：以相关合同条款为准。</w:t>
      </w:r>
    </w:p>
    <w:p w14:paraId="6DD89CE6">
      <w:pPr>
        <w:ind w:firstLine="480" w:firstLineChars="200"/>
        <w:rPr>
          <w:rFonts w:ascii="宋体" w:hAnsi="宋体" w:eastAsia="宋体" w:cstheme="minorEastAsia"/>
          <w:sz w:val="24"/>
        </w:rPr>
      </w:pPr>
      <w:r>
        <w:rPr>
          <w:rFonts w:ascii="宋体" w:hAnsi="宋体" w:eastAsia="宋体" w:cstheme="minorEastAsia"/>
          <w:sz w:val="24"/>
        </w:rPr>
        <w:t>4</w:t>
      </w:r>
      <w:r>
        <w:rPr>
          <w:rFonts w:hint="eastAsia" w:ascii="宋体" w:hAnsi="宋体" w:eastAsia="宋体" w:cstheme="minorEastAsia"/>
          <w:sz w:val="24"/>
        </w:rPr>
        <w:t>、合同付款条件：先服务后收费，中标人提供有效增值税专用发票，酒店将会在收到发票后</w:t>
      </w:r>
      <w:r>
        <w:rPr>
          <w:rFonts w:ascii="宋体" w:hAnsi="宋体" w:eastAsia="宋体" w:cstheme="minorEastAsia"/>
          <w:sz w:val="24"/>
        </w:rPr>
        <w:t>60</w:t>
      </w:r>
      <w:r>
        <w:rPr>
          <w:rFonts w:hint="eastAsia" w:ascii="宋体" w:hAnsi="宋体" w:eastAsia="宋体" w:cstheme="minorEastAsia"/>
          <w:sz w:val="24"/>
        </w:rPr>
        <w:t>天内付款。</w:t>
      </w:r>
    </w:p>
    <w:p w14:paraId="2A080F87">
      <w:pPr>
        <w:ind w:firstLine="480" w:firstLineChars="200"/>
        <w:rPr>
          <w:rFonts w:ascii="宋体" w:hAnsi="宋体" w:eastAsia="宋体" w:cstheme="minorEastAsia"/>
          <w:sz w:val="24"/>
        </w:rPr>
      </w:pPr>
      <w:r>
        <w:rPr>
          <w:rFonts w:ascii="宋体" w:hAnsi="宋体" w:eastAsia="宋体" w:cstheme="minorEastAsia"/>
          <w:sz w:val="24"/>
        </w:rPr>
        <w:t>5</w:t>
      </w:r>
      <w:r>
        <w:rPr>
          <w:rFonts w:hint="eastAsia" w:ascii="宋体" w:hAnsi="宋体" w:eastAsia="宋体" w:cstheme="minorEastAsia"/>
          <w:sz w:val="24"/>
        </w:rPr>
        <w:t>、招标人有权保留在签合同时对报价清单项目数量进行部分增减或更改的权利。</w:t>
      </w:r>
    </w:p>
    <w:p w14:paraId="12487E25">
      <w:pPr>
        <w:rPr>
          <w:rFonts w:ascii="宋体" w:hAnsi="宋体" w:eastAsia="宋体" w:cstheme="minorEastAsia"/>
          <w:b/>
          <w:bCs/>
          <w:sz w:val="24"/>
        </w:rPr>
      </w:pPr>
      <w:r>
        <w:rPr>
          <w:rFonts w:hint="eastAsia" w:ascii="宋体" w:hAnsi="宋体" w:eastAsia="宋体" w:cstheme="minorEastAsia"/>
          <w:b/>
          <w:bCs/>
          <w:sz w:val="24"/>
        </w:rPr>
        <w:t>四、投标文件的编写、份数和签署</w:t>
      </w:r>
    </w:p>
    <w:p w14:paraId="021C0B97">
      <w:pPr>
        <w:ind w:firstLine="480" w:firstLineChars="200"/>
        <w:rPr>
          <w:rFonts w:ascii="宋体" w:hAnsi="宋体" w:eastAsia="宋体" w:cstheme="minorEastAsia"/>
          <w:sz w:val="24"/>
        </w:rPr>
      </w:pPr>
      <w:r>
        <w:rPr>
          <w:rFonts w:hint="eastAsia" w:ascii="宋体" w:hAnsi="宋体" w:eastAsia="宋体" w:cstheme="minorEastAsia"/>
          <w:sz w:val="24"/>
        </w:rPr>
        <w:t>1、投标文件的</w:t>
      </w:r>
      <w:r>
        <w:rPr>
          <w:rFonts w:hint="eastAsia" w:ascii="宋体" w:hAnsi="宋体" w:eastAsia="宋体" w:cstheme="minorEastAsia"/>
          <w:sz w:val="24"/>
          <w:lang w:val="en-US" w:eastAsia="zh-CN"/>
        </w:rPr>
        <w:t>资格审查标、</w:t>
      </w:r>
      <w:r>
        <w:rPr>
          <w:rFonts w:hint="eastAsia" w:ascii="宋体" w:hAnsi="宋体" w:eastAsia="宋体" w:cstheme="minorEastAsia"/>
          <w:sz w:val="24"/>
        </w:rPr>
        <w:t>商务标均为一份正本和二份副本，并明确标注投标人全称、“正本”、“副本”字样。</w:t>
      </w:r>
    </w:p>
    <w:p w14:paraId="08F55189">
      <w:pPr>
        <w:ind w:firstLine="480" w:firstLineChars="200"/>
        <w:rPr>
          <w:rFonts w:ascii="宋体" w:hAnsi="宋体" w:eastAsia="宋体" w:cstheme="minorEastAsia"/>
          <w:sz w:val="24"/>
        </w:rPr>
      </w:pPr>
      <w:r>
        <w:rPr>
          <w:rFonts w:hint="eastAsia" w:ascii="宋体" w:hAnsi="宋体" w:eastAsia="宋体" w:cstheme="minorEastAsia"/>
          <w:sz w:val="24"/>
        </w:rPr>
        <w:t>2、投标文件正本须打印并由投标人法定代表人或授权人签字并加盖单位印章。副本可复印，但须加盖单位印章。</w:t>
      </w:r>
    </w:p>
    <w:p w14:paraId="4645B8A8">
      <w:pPr>
        <w:rPr>
          <w:rFonts w:ascii="宋体" w:hAnsi="宋体" w:eastAsia="宋体" w:cstheme="minorEastAsia"/>
          <w:b/>
          <w:bCs/>
          <w:sz w:val="24"/>
        </w:rPr>
      </w:pPr>
      <w:r>
        <w:rPr>
          <w:rFonts w:hint="eastAsia" w:ascii="宋体" w:hAnsi="宋体" w:eastAsia="宋体" w:cstheme="minorEastAsia"/>
          <w:b/>
          <w:bCs/>
          <w:sz w:val="24"/>
        </w:rPr>
        <w:t>五、投标文件的密封及标记</w:t>
      </w:r>
    </w:p>
    <w:p w14:paraId="7BC9E53A">
      <w:pPr>
        <w:ind w:firstLine="480" w:firstLineChars="200"/>
        <w:rPr>
          <w:rFonts w:ascii="宋体" w:hAnsi="宋体" w:eastAsia="宋体" w:cstheme="minorEastAsia"/>
          <w:sz w:val="24"/>
        </w:rPr>
      </w:pPr>
      <w:r>
        <w:rPr>
          <w:rFonts w:hint="eastAsia" w:ascii="宋体" w:hAnsi="宋体" w:eastAsia="宋体" w:cstheme="minorEastAsia"/>
          <w:sz w:val="24"/>
        </w:rPr>
        <w:t>密封后，应在每一密封包的投标文件上明确标注投标项目名称、投标文件各自对应的名称、投标人全称及日期，同时加盖投标人公章。</w:t>
      </w:r>
    </w:p>
    <w:p w14:paraId="0B6BDBAF">
      <w:pPr>
        <w:rPr>
          <w:rFonts w:ascii="宋体" w:hAnsi="宋体" w:eastAsia="宋体" w:cstheme="minorEastAsia"/>
          <w:b/>
          <w:bCs/>
          <w:sz w:val="24"/>
        </w:rPr>
      </w:pPr>
      <w:r>
        <w:rPr>
          <w:rFonts w:hint="eastAsia" w:ascii="宋体" w:hAnsi="宋体" w:eastAsia="宋体" w:cstheme="minorEastAsia"/>
          <w:b/>
          <w:bCs/>
          <w:sz w:val="24"/>
        </w:rPr>
        <w:t>六、投标文件的递交时间</w:t>
      </w:r>
    </w:p>
    <w:p w14:paraId="43D7748F">
      <w:pPr>
        <w:ind w:firstLine="480" w:firstLineChars="200"/>
        <w:rPr>
          <w:rFonts w:ascii="宋体" w:hAnsi="宋体" w:eastAsia="宋体" w:cstheme="minorEastAsia"/>
          <w:sz w:val="24"/>
        </w:rPr>
      </w:pPr>
      <w:r>
        <w:rPr>
          <w:rFonts w:hint="eastAsia" w:ascii="宋体" w:hAnsi="宋体" w:eastAsia="宋体" w:cstheme="minorEastAsia"/>
          <w:sz w:val="24"/>
        </w:rPr>
        <w:t>投标人必须在规定的投标文件递交截止时间前送达招标人。招标人将拒绝接收在投标截止时间后递交的投标文件。</w:t>
      </w:r>
    </w:p>
    <w:p w14:paraId="3B9F5D54">
      <w:pPr>
        <w:rPr>
          <w:rFonts w:ascii="宋体" w:hAnsi="宋体" w:eastAsia="宋体" w:cstheme="minorEastAsia"/>
          <w:b/>
          <w:bCs/>
          <w:sz w:val="24"/>
        </w:rPr>
      </w:pPr>
      <w:r>
        <w:rPr>
          <w:rFonts w:hint="eastAsia" w:ascii="宋体" w:hAnsi="宋体" w:eastAsia="宋体" w:cstheme="minorEastAsia"/>
          <w:b/>
          <w:bCs/>
          <w:sz w:val="24"/>
        </w:rPr>
        <w:t>七、投标报价</w:t>
      </w:r>
    </w:p>
    <w:p w14:paraId="6BCC2F03">
      <w:pPr>
        <w:ind w:firstLine="480" w:firstLineChars="200"/>
        <w:rPr>
          <w:rFonts w:ascii="宋体" w:hAnsi="宋体" w:eastAsia="宋体"/>
          <w:sz w:val="24"/>
        </w:rPr>
      </w:pPr>
      <w:r>
        <w:rPr>
          <w:rFonts w:ascii="宋体" w:hAnsi="宋体" w:eastAsia="宋体"/>
          <w:sz w:val="24"/>
        </w:rPr>
        <w:t>1、本项目只允许一个报价，不接受任何有选择的报价。</w:t>
      </w:r>
    </w:p>
    <w:p w14:paraId="13347B95">
      <w:pPr>
        <w:ind w:firstLine="480" w:firstLineChars="200"/>
        <w:rPr>
          <w:rFonts w:ascii="宋体" w:hAnsi="宋体" w:eastAsia="宋体"/>
          <w:sz w:val="24"/>
        </w:rPr>
      </w:pPr>
      <w:r>
        <w:rPr>
          <w:rFonts w:ascii="宋体" w:hAnsi="宋体" w:eastAsia="宋体"/>
          <w:sz w:val="24"/>
        </w:rPr>
        <w:t>2、报价表必须加盖询价响应供应商公章且必须经法定代表人或其委托授权人签署。</w:t>
      </w:r>
    </w:p>
    <w:p w14:paraId="5F75AF69">
      <w:pPr>
        <w:ind w:firstLine="480" w:firstLineChars="200"/>
        <w:rPr>
          <w:rFonts w:ascii="宋体" w:hAnsi="宋体" w:eastAsia="宋体"/>
          <w:sz w:val="24"/>
        </w:rPr>
      </w:pPr>
      <w:r>
        <w:rPr>
          <w:rFonts w:ascii="宋体" w:hAnsi="宋体" w:eastAsia="宋体"/>
          <w:sz w:val="24"/>
        </w:rPr>
        <w:t>3、投标响应文件报价出现前后不一致的，按照下列规定修正：</w:t>
      </w:r>
    </w:p>
    <w:p w14:paraId="40D73665">
      <w:pPr>
        <w:ind w:firstLine="720" w:firstLineChars="300"/>
        <w:rPr>
          <w:rFonts w:ascii="宋体" w:hAnsi="宋体" w:eastAsia="宋体"/>
          <w:sz w:val="24"/>
        </w:rPr>
      </w:pPr>
      <w:r>
        <w:rPr>
          <w:rFonts w:hint="eastAsia" w:ascii="宋体" w:hAnsi="宋体" w:eastAsia="宋体"/>
          <w:sz w:val="24"/>
        </w:rPr>
        <w:t>（</w:t>
      </w:r>
      <w:r>
        <w:rPr>
          <w:rFonts w:ascii="宋体" w:hAnsi="宋体" w:eastAsia="宋体"/>
          <w:sz w:val="24"/>
        </w:rPr>
        <w:t>1）投标响应文件中报价表内容与询价响应文件中明细内容不一致的，以报价表为准；</w:t>
      </w:r>
    </w:p>
    <w:p w14:paraId="1B4EA612">
      <w:pPr>
        <w:ind w:firstLine="720" w:firstLineChars="300"/>
        <w:rPr>
          <w:rFonts w:ascii="宋体" w:hAnsi="宋体" w:eastAsia="宋体"/>
          <w:sz w:val="24"/>
        </w:rPr>
      </w:pPr>
      <w:r>
        <w:rPr>
          <w:rFonts w:hint="eastAsia" w:ascii="宋体" w:hAnsi="宋体" w:eastAsia="宋体"/>
          <w:sz w:val="24"/>
        </w:rPr>
        <w:t>（</w:t>
      </w:r>
      <w:r>
        <w:rPr>
          <w:rFonts w:ascii="宋体" w:hAnsi="宋体" w:eastAsia="宋体"/>
          <w:sz w:val="24"/>
        </w:rPr>
        <w:t>2）大写金额和小写金额不一致的，以大写金额为准；</w:t>
      </w:r>
    </w:p>
    <w:p w14:paraId="3345D12A">
      <w:pPr>
        <w:ind w:firstLine="720" w:firstLineChars="300"/>
        <w:rPr>
          <w:rFonts w:ascii="宋体" w:hAnsi="宋体" w:eastAsia="宋体"/>
          <w:sz w:val="24"/>
        </w:rPr>
      </w:pPr>
      <w:r>
        <w:rPr>
          <w:rFonts w:hint="eastAsia" w:ascii="宋体" w:hAnsi="宋体" w:eastAsia="宋体"/>
          <w:sz w:val="24"/>
        </w:rPr>
        <w:t>（</w:t>
      </w:r>
      <w:r>
        <w:rPr>
          <w:rFonts w:ascii="宋体" w:hAnsi="宋体" w:eastAsia="宋体"/>
          <w:sz w:val="24"/>
        </w:rPr>
        <w:t>3）单价金额小数点或者百分比有明显错位的，以投标响应报价总表中的总价为准，并修改单价；</w:t>
      </w:r>
    </w:p>
    <w:p w14:paraId="1875FCD2">
      <w:pPr>
        <w:ind w:firstLine="720" w:firstLineChars="300"/>
        <w:rPr>
          <w:rFonts w:ascii="宋体" w:hAnsi="宋体" w:eastAsia="宋体"/>
          <w:sz w:val="24"/>
        </w:rPr>
      </w:pPr>
      <w:r>
        <w:rPr>
          <w:rFonts w:hint="eastAsia" w:ascii="宋体" w:hAnsi="宋体" w:eastAsia="宋体"/>
          <w:sz w:val="24"/>
        </w:rPr>
        <w:t>（</w:t>
      </w:r>
      <w:r>
        <w:rPr>
          <w:rFonts w:ascii="宋体" w:hAnsi="宋体" w:eastAsia="宋体"/>
          <w:sz w:val="24"/>
        </w:rPr>
        <w:t>4）总价金额与按单价汇总金额不一致的，以单价金额计算结果为准。</w:t>
      </w:r>
    </w:p>
    <w:p w14:paraId="0170BF7D">
      <w:pPr>
        <w:ind w:firstLine="720" w:firstLineChars="300"/>
        <w:rPr>
          <w:rFonts w:ascii="宋体" w:hAnsi="宋体" w:eastAsia="宋体"/>
          <w:sz w:val="24"/>
        </w:rPr>
      </w:pPr>
      <w:r>
        <w:rPr>
          <w:rFonts w:hint="eastAsia" w:ascii="宋体" w:hAnsi="宋体" w:eastAsia="宋体"/>
          <w:sz w:val="24"/>
        </w:rPr>
        <w:t>（</w:t>
      </w:r>
      <w:r>
        <w:rPr>
          <w:rFonts w:ascii="宋体" w:hAnsi="宋体" w:eastAsia="宋体"/>
          <w:sz w:val="24"/>
        </w:rPr>
        <w:t>5）同时出现两种以上不一致的，按照前款规定的顺序修正。修正后的报价经询价响应供应商确认后产生约束力，询价响应供应商不确认的，其询价响应无效。</w:t>
      </w:r>
    </w:p>
    <w:p w14:paraId="5D6EBE8E">
      <w:pPr>
        <w:rPr>
          <w:rFonts w:ascii="宋体" w:hAnsi="宋体" w:eastAsia="宋体" w:cstheme="minorEastAsia"/>
          <w:b/>
          <w:bCs/>
          <w:sz w:val="24"/>
        </w:rPr>
      </w:pPr>
      <w:r>
        <w:rPr>
          <w:rFonts w:hint="eastAsia" w:ascii="宋体" w:hAnsi="宋体" w:eastAsia="宋体" w:cstheme="minorEastAsia"/>
          <w:b/>
          <w:bCs/>
          <w:sz w:val="24"/>
        </w:rPr>
        <w:t>八、付款方式</w:t>
      </w:r>
    </w:p>
    <w:p w14:paraId="7C912480">
      <w:pPr>
        <w:ind w:firstLine="480" w:firstLineChars="200"/>
        <w:rPr>
          <w:rFonts w:ascii="宋体" w:hAnsi="宋体" w:eastAsia="宋体" w:cstheme="minorEastAsia"/>
          <w:sz w:val="24"/>
        </w:rPr>
      </w:pPr>
      <w:r>
        <w:rPr>
          <w:rFonts w:hint="eastAsia" w:ascii="宋体" w:hAnsi="宋体" w:eastAsia="宋体" w:cstheme="minorEastAsia"/>
          <w:sz w:val="24"/>
        </w:rPr>
        <w:t>合同付款条件：先服务后收费，中标人提供有效增值税专用发票，酒店将会在收到发票后</w:t>
      </w:r>
      <w:r>
        <w:rPr>
          <w:rFonts w:ascii="宋体" w:hAnsi="宋体" w:eastAsia="宋体" w:cstheme="minorEastAsia"/>
          <w:sz w:val="24"/>
        </w:rPr>
        <w:t>60</w:t>
      </w:r>
      <w:r>
        <w:rPr>
          <w:rFonts w:hint="eastAsia" w:ascii="宋体" w:hAnsi="宋体" w:eastAsia="宋体" w:cstheme="minorEastAsia"/>
          <w:sz w:val="24"/>
        </w:rPr>
        <w:t>天内付款。</w:t>
      </w:r>
    </w:p>
    <w:p w14:paraId="673242C6">
      <w:pPr>
        <w:rPr>
          <w:rFonts w:ascii="宋体" w:hAnsi="宋体" w:eastAsia="宋体" w:cstheme="minorEastAsia"/>
          <w:b/>
          <w:bCs/>
          <w:sz w:val="24"/>
        </w:rPr>
      </w:pPr>
      <w:r>
        <w:rPr>
          <w:rFonts w:hint="eastAsia" w:ascii="宋体" w:hAnsi="宋体" w:eastAsia="宋体" w:cstheme="minorEastAsia"/>
          <w:b/>
          <w:bCs/>
          <w:sz w:val="24"/>
        </w:rPr>
        <w:t>九、投标有效期</w:t>
      </w:r>
    </w:p>
    <w:p w14:paraId="0E38A4F0">
      <w:pPr>
        <w:ind w:firstLine="480" w:firstLineChars="200"/>
        <w:rPr>
          <w:rFonts w:ascii="宋体" w:hAnsi="宋体" w:eastAsia="宋体" w:cstheme="minorEastAsia"/>
          <w:sz w:val="24"/>
        </w:rPr>
      </w:pPr>
      <w:r>
        <w:rPr>
          <w:rFonts w:hint="eastAsia" w:ascii="宋体" w:hAnsi="宋体" w:eastAsia="宋体" w:cstheme="minorEastAsia"/>
          <w:sz w:val="24"/>
        </w:rPr>
        <w:t>投标文件自投标截止时间起45日历内有效。</w:t>
      </w:r>
    </w:p>
    <w:p w14:paraId="2E1C3A18">
      <w:pPr>
        <w:rPr>
          <w:rFonts w:ascii="宋体" w:hAnsi="宋体" w:eastAsia="宋体" w:cstheme="minorEastAsia"/>
          <w:b/>
          <w:bCs/>
          <w:sz w:val="24"/>
        </w:rPr>
      </w:pPr>
      <w:r>
        <w:rPr>
          <w:rFonts w:hint="eastAsia" w:ascii="宋体" w:hAnsi="宋体" w:eastAsia="宋体" w:cstheme="minorEastAsia"/>
          <w:b/>
          <w:bCs/>
          <w:sz w:val="24"/>
        </w:rPr>
        <w:t>十、投标费用</w:t>
      </w:r>
    </w:p>
    <w:p w14:paraId="0BED7952">
      <w:pPr>
        <w:ind w:firstLine="480" w:firstLineChars="200"/>
        <w:rPr>
          <w:rFonts w:ascii="宋体" w:hAnsi="宋体" w:eastAsia="宋体" w:cstheme="minorEastAsia"/>
          <w:sz w:val="24"/>
        </w:rPr>
      </w:pPr>
      <w:r>
        <w:rPr>
          <w:rFonts w:hint="eastAsia" w:ascii="宋体" w:hAnsi="宋体" w:eastAsia="宋体" w:cstheme="minorEastAsia"/>
          <w:sz w:val="24"/>
        </w:rPr>
        <w:t>1、投标人应承担其编制投标文件以及递交投标文件所涉及的一切费用。无论投标结果如何，招标人对上述费用不负任何责任。</w:t>
      </w:r>
    </w:p>
    <w:p w14:paraId="30540705">
      <w:pPr>
        <w:rPr>
          <w:rFonts w:ascii="宋体" w:hAnsi="宋体" w:eastAsia="宋体" w:cstheme="minorEastAsia"/>
          <w:b/>
          <w:bCs/>
          <w:sz w:val="24"/>
        </w:rPr>
      </w:pPr>
      <w:r>
        <w:rPr>
          <w:rFonts w:hint="eastAsia" w:ascii="宋体" w:hAnsi="宋体" w:eastAsia="宋体" w:cstheme="minorEastAsia"/>
          <w:b/>
          <w:bCs/>
          <w:sz w:val="24"/>
        </w:rPr>
        <w:t>十一、未尽事宜</w:t>
      </w:r>
    </w:p>
    <w:p w14:paraId="229E288E">
      <w:pPr>
        <w:pStyle w:val="2"/>
        <w:rPr>
          <w:rFonts w:ascii="宋体" w:hAnsi="宋体" w:eastAsia="宋体"/>
          <w:sz w:val="24"/>
        </w:rPr>
      </w:pPr>
      <w:r>
        <w:rPr>
          <w:rFonts w:hint="eastAsia" w:ascii="宋体" w:hAnsi="宋体" w:eastAsia="宋体"/>
          <w:sz w:val="24"/>
        </w:rPr>
        <w:t>按有关法律法规的规定执行。</w:t>
      </w:r>
    </w:p>
    <w:p w14:paraId="28868BFB">
      <w:pPr>
        <w:pStyle w:val="2"/>
      </w:pPr>
    </w:p>
    <w:p w14:paraId="4CB4DF18">
      <w:pPr>
        <w:pStyle w:val="3"/>
      </w:pPr>
    </w:p>
    <w:p w14:paraId="51DF7D6D">
      <w:pPr>
        <w:pStyle w:val="3"/>
      </w:pPr>
    </w:p>
    <w:p w14:paraId="05DB930C">
      <w:pPr>
        <w:pStyle w:val="3"/>
      </w:pPr>
    </w:p>
    <w:p w14:paraId="53A4DBAC">
      <w:pPr>
        <w:pStyle w:val="3"/>
      </w:pPr>
    </w:p>
    <w:p w14:paraId="768C24AE">
      <w:pPr>
        <w:pStyle w:val="3"/>
      </w:pPr>
    </w:p>
    <w:p w14:paraId="7968272F">
      <w:pPr>
        <w:pStyle w:val="3"/>
      </w:pPr>
    </w:p>
    <w:p w14:paraId="2BB43F92">
      <w:pPr>
        <w:pStyle w:val="3"/>
      </w:pPr>
    </w:p>
    <w:p w14:paraId="3CF78381">
      <w:pPr>
        <w:pStyle w:val="3"/>
      </w:pPr>
    </w:p>
    <w:p w14:paraId="7E7CBFEE">
      <w:pPr>
        <w:pStyle w:val="3"/>
      </w:pPr>
    </w:p>
    <w:p w14:paraId="12DC0606">
      <w:pPr>
        <w:pStyle w:val="3"/>
      </w:pPr>
    </w:p>
    <w:p w14:paraId="1DDFD1B3">
      <w:pPr>
        <w:pStyle w:val="3"/>
      </w:pPr>
    </w:p>
    <w:p w14:paraId="2E7C7860">
      <w:pPr>
        <w:pStyle w:val="3"/>
      </w:pPr>
    </w:p>
    <w:p w14:paraId="7822C520">
      <w:pPr>
        <w:pStyle w:val="3"/>
      </w:pPr>
    </w:p>
    <w:p w14:paraId="68F15D0D">
      <w:pPr>
        <w:pStyle w:val="3"/>
      </w:pPr>
    </w:p>
    <w:p w14:paraId="0E8BA274">
      <w:pPr>
        <w:pStyle w:val="3"/>
      </w:pPr>
    </w:p>
    <w:p w14:paraId="1DE3F0BE">
      <w:pPr>
        <w:pStyle w:val="3"/>
      </w:pPr>
    </w:p>
    <w:p w14:paraId="4C977021">
      <w:pPr>
        <w:pStyle w:val="3"/>
      </w:pPr>
    </w:p>
    <w:p w14:paraId="68B58A49">
      <w:pPr>
        <w:pStyle w:val="3"/>
      </w:pPr>
    </w:p>
    <w:p w14:paraId="17870CBB">
      <w:pPr>
        <w:pStyle w:val="3"/>
      </w:pPr>
    </w:p>
    <w:p w14:paraId="33001F3A">
      <w:pPr>
        <w:pStyle w:val="3"/>
      </w:pPr>
    </w:p>
    <w:p w14:paraId="26BABDE0">
      <w:pPr>
        <w:pStyle w:val="3"/>
      </w:pPr>
    </w:p>
    <w:p w14:paraId="651310FD">
      <w:pPr>
        <w:pStyle w:val="3"/>
      </w:pPr>
    </w:p>
    <w:p w14:paraId="277FB937">
      <w:pPr>
        <w:pStyle w:val="3"/>
      </w:pPr>
    </w:p>
    <w:p w14:paraId="69F13DC2">
      <w:pPr>
        <w:pStyle w:val="3"/>
      </w:pPr>
    </w:p>
    <w:p w14:paraId="66DB1FF4">
      <w:pPr>
        <w:pStyle w:val="3"/>
      </w:pPr>
    </w:p>
    <w:p w14:paraId="7F65C3BB">
      <w:pPr>
        <w:pStyle w:val="3"/>
      </w:pPr>
    </w:p>
    <w:p w14:paraId="7E12D2F1">
      <w:pPr>
        <w:pStyle w:val="3"/>
      </w:pPr>
    </w:p>
    <w:p w14:paraId="33336B0D">
      <w:pPr>
        <w:pStyle w:val="3"/>
      </w:pPr>
    </w:p>
    <w:p w14:paraId="569EA32B">
      <w:pPr>
        <w:pStyle w:val="3"/>
      </w:pPr>
    </w:p>
    <w:p w14:paraId="1F2A941F">
      <w:pPr>
        <w:jc w:val="center"/>
        <w:rPr>
          <w:rFonts w:ascii="宋体" w:hAnsi="宋体" w:eastAsia="宋体" w:cstheme="minorEastAsia"/>
          <w:sz w:val="36"/>
          <w:szCs w:val="36"/>
        </w:rPr>
      </w:pPr>
      <w:r>
        <w:rPr>
          <w:rFonts w:hint="eastAsia" w:ascii="宋体" w:hAnsi="宋体" w:eastAsia="宋体" w:cstheme="minorEastAsia"/>
          <w:sz w:val="36"/>
          <w:szCs w:val="36"/>
        </w:rPr>
        <w:t>第三部分 项目需求说明</w:t>
      </w:r>
    </w:p>
    <w:p w14:paraId="3F812C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theme="minorEastAsia"/>
          <w:sz w:val="24"/>
        </w:rPr>
      </w:pPr>
      <w:r>
        <w:rPr>
          <w:rFonts w:hint="eastAsia" w:ascii="宋体" w:hAnsi="宋体" w:eastAsia="宋体" w:cstheme="minorEastAsia"/>
          <w:sz w:val="24"/>
        </w:rPr>
        <w:t>请投标人在制作投标文件时仔细研究项目需求说明。投标人不能简单照搬照抄采购人项目需求说明中的技术、商务要求，必须作实事求是的响应。如照搬照抄项目需求说明中的技术、商务要求的，中标人在同采购人签订合同和履约环节中不得提出异议，一切后果和损失由中标人承担。本项目不接受负偏离应标，否则做无效标处理。</w:t>
      </w:r>
    </w:p>
    <w:p w14:paraId="5999B4EA">
      <w:pPr>
        <w:rPr>
          <w:rFonts w:ascii="宋体" w:hAnsi="宋体" w:eastAsia="宋体" w:cstheme="minorEastAsia"/>
          <w:sz w:val="24"/>
        </w:rPr>
      </w:pPr>
    </w:p>
    <w:p w14:paraId="78BE5716">
      <w:pPr>
        <w:widowControl/>
        <w:shd w:val="clear" w:color="auto" w:fill="FFFFFF"/>
        <w:wordWrap w:val="0"/>
        <w:adjustRightInd w:val="0"/>
        <w:spacing w:line="360" w:lineRule="auto"/>
        <w:jc w:val="left"/>
        <w:rPr>
          <w:rFonts w:ascii="宋体" w:hAnsi="宋体" w:eastAsia="宋体" w:cs="Times New Roman"/>
          <w:b/>
          <w:kern w:val="0"/>
          <w:sz w:val="24"/>
        </w:rPr>
      </w:pPr>
      <w:r>
        <w:rPr>
          <w:rFonts w:hint="eastAsia" w:ascii="宋体" w:hAnsi="宋体" w:eastAsia="宋体" w:cs="Times New Roman"/>
          <w:b/>
          <w:kern w:val="0"/>
          <w:sz w:val="24"/>
        </w:rPr>
        <w:t>一、项目介绍</w:t>
      </w:r>
    </w:p>
    <w:p w14:paraId="573D787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南通金石国际大酒店的中央空调机制冷机组是由“约克”4台离心机机组承担整幢大楼各个区域的空调制冷需求。根据2个主循环水系统管道和制冷设备所需安装电磁波水处理器设备的性能和技术要求：1#、2#制冷机组冷却主循环水管道直径为Φ550、冷冻主循环水管道直径为Φ450mm，需安装2套电磁波水处理器；3#4#制冷机组冷却主循环水管道直径为Φ550、冷冻主循环水管道直径为Φ450mm，需安装2套电磁波水处理器。共计4套电磁波水处理器设备。</w:t>
      </w:r>
    </w:p>
    <w:p w14:paraId="169F2A3B">
      <w:pPr>
        <w:widowControl/>
        <w:shd w:val="clear" w:color="auto" w:fill="FFFFFF"/>
        <w:wordWrap w:val="0"/>
        <w:adjustRightInd w:val="0"/>
        <w:spacing w:line="360" w:lineRule="auto"/>
        <w:jc w:val="left"/>
        <w:rPr>
          <w:rFonts w:ascii="宋体" w:hAnsi="宋体" w:eastAsia="宋体" w:cs="Times New Roman"/>
          <w:b/>
          <w:kern w:val="0"/>
          <w:sz w:val="24"/>
        </w:rPr>
      </w:pPr>
      <w:r>
        <w:rPr>
          <w:rFonts w:hint="eastAsia" w:ascii="宋体" w:hAnsi="宋体" w:eastAsia="宋体" w:cs="Times New Roman"/>
          <w:b/>
          <w:kern w:val="0"/>
          <w:sz w:val="24"/>
        </w:rPr>
        <w:t>二、巡查要求</w:t>
      </w:r>
    </w:p>
    <w:p w14:paraId="7323C424">
      <w:pPr>
        <w:widowControl/>
        <w:shd w:val="clear" w:color="auto" w:fill="FFFFFF"/>
        <w:wordWrap w:val="0"/>
        <w:adjustRightInd w:val="0"/>
        <w:spacing w:line="360" w:lineRule="auto"/>
        <w:jc w:val="left"/>
        <w:rPr>
          <w:rFonts w:ascii="宋体" w:hAnsi="宋体" w:eastAsia="宋体" w:cs="宋体"/>
          <w:kern w:val="0"/>
          <w:sz w:val="24"/>
        </w:rPr>
      </w:pPr>
      <w:r>
        <w:rPr>
          <w:rFonts w:hint="eastAsia" w:ascii="宋体" w:hAnsi="宋体" w:eastAsia="宋体" w:cs="宋体"/>
          <w:kern w:val="0"/>
          <w:sz w:val="24"/>
        </w:rPr>
        <w:t>1、基本要求</w:t>
      </w:r>
    </w:p>
    <w:p w14:paraId="3E288773">
      <w:pPr>
        <w:widowControl/>
        <w:shd w:val="clear" w:color="auto" w:fill="FFFFFF"/>
        <w:wordWrap w:val="0"/>
        <w:adjustRightInd w:val="0"/>
        <w:spacing w:line="360" w:lineRule="auto"/>
        <w:ind w:firstLine="480"/>
        <w:jc w:val="left"/>
        <w:rPr>
          <w:rFonts w:ascii="宋体" w:hAnsi="宋体" w:eastAsia="宋体" w:cs="宋体"/>
          <w:kern w:val="0"/>
          <w:sz w:val="24"/>
        </w:rPr>
      </w:pPr>
      <w:r>
        <w:rPr>
          <w:rFonts w:hint="eastAsia" w:ascii="宋体" w:hAnsi="宋体" w:eastAsia="宋体" w:cs="宋体"/>
          <w:kern w:val="0"/>
          <w:sz w:val="24"/>
        </w:rPr>
        <w:t>1.1定期对循环水管道系统的水质进行维护检查，为防止腐蚀以及对污水排放的标准要求，应及时解决纠正，并出具书面报告甲方签字认可；</w:t>
      </w:r>
    </w:p>
    <w:p w14:paraId="33E10FAF">
      <w:pPr>
        <w:widowControl/>
        <w:shd w:val="clear" w:color="auto" w:fill="FFFFFF"/>
        <w:wordWrap w:val="0"/>
        <w:adjustRightInd w:val="0"/>
        <w:spacing w:line="360" w:lineRule="auto"/>
        <w:ind w:firstLine="480"/>
        <w:jc w:val="left"/>
        <w:rPr>
          <w:rFonts w:ascii="宋体" w:hAnsi="宋体" w:eastAsia="宋体" w:cs="宋体"/>
          <w:kern w:val="0"/>
          <w:sz w:val="24"/>
        </w:rPr>
      </w:pPr>
      <w:r>
        <w:rPr>
          <w:rFonts w:hint="eastAsia" w:ascii="宋体" w:hAnsi="宋体" w:eastAsia="宋体" w:cs="宋体"/>
          <w:kern w:val="0"/>
          <w:sz w:val="24"/>
        </w:rPr>
        <w:t>1.2每季度进行一次常规检查，提交书面巡查记录报告；</w:t>
      </w:r>
      <w:r>
        <w:rPr>
          <w:rFonts w:ascii="宋体" w:hAnsi="宋体" w:eastAsia="宋体" w:cs="宋体"/>
          <w:kern w:val="0"/>
          <w:sz w:val="24"/>
        </w:rPr>
        <w:t xml:space="preserve"> </w:t>
      </w:r>
    </w:p>
    <w:p w14:paraId="5C237C4C">
      <w:pPr>
        <w:widowControl/>
        <w:shd w:val="clear" w:color="auto" w:fill="FFFFFF"/>
        <w:wordWrap w:val="0"/>
        <w:adjustRightInd w:val="0"/>
        <w:spacing w:line="360" w:lineRule="auto"/>
        <w:ind w:firstLine="480"/>
        <w:jc w:val="left"/>
        <w:rPr>
          <w:rFonts w:ascii="宋体" w:hAnsi="宋体" w:eastAsia="宋体" w:cs="宋体"/>
          <w:kern w:val="0"/>
          <w:sz w:val="24"/>
        </w:rPr>
      </w:pPr>
      <w:r>
        <w:rPr>
          <w:rFonts w:hint="eastAsia" w:ascii="宋体" w:hAnsi="宋体" w:eastAsia="宋体" w:cs="宋体"/>
          <w:kern w:val="0"/>
          <w:sz w:val="24"/>
        </w:rPr>
        <w:t>1.3提供季度水质报告，每次巡查需经甲方签字确认认可，并提供书面报告，并附数据、记录等；</w:t>
      </w:r>
    </w:p>
    <w:p w14:paraId="586453A3">
      <w:pPr>
        <w:widowControl/>
        <w:shd w:val="clear" w:color="auto" w:fill="FFFFFF"/>
        <w:wordWrap w:val="0"/>
        <w:adjustRightInd w:val="0"/>
        <w:spacing w:line="360" w:lineRule="auto"/>
        <w:ind w:firstLine="480"/>
        <w:jc w:val="left"/>
        <w:rPr>
          <w:rFonts w:ascii="宋体" w:hAnsi="宋体" w:eastAsia="宋体" w:cs="宋体"/>
          <w:kern w:val="0"/>
          <w:sz w:val="24"/>
        </w:rPr>
      </w:pPr>
      <w:r>
        <w:rPr>
          <w:rFonts w:hint="eastAsia" w:ascii="宋体" w:hAnsi="宋体" w:eastAsia="宋体" w:cs="宋体"/>
          <w:kern w:val="0"/>
          <w:sz w:val="24"/>
        </w:rPr>
        <w:t>1.4合同期内，发生水质问题，及时调整处理水质，使循环水达到国家规定的标准要求；</w:t>
      </w:r>
    </w:p>
    <w:p w14:paraId="1BE980DD">
      <w:pPr>
        <w:widowControl/>
        <w:shd w:val="clear" w:color="auto" w:fill="FFFFFF"/>
        <w:wordWrap w:val="0"/>
        <w:adjustRightInd w:val="0"/>
        <w:spacing w:line="360" w:lineRule="auto"/>
        <w:ind w:firstLine="480"/>
        <w:jc w:val="left"/>
        <w:rPr>
          <w:rFonts w:ascii="宋体" w:hAnsi="宋体" w:eastAsia="宋体" w:cs="宋体"/>
          <w:kern w:val="0"/>
          <w:sz w:val="24"/>
        </w:rPr>
      </w:pPr>
      <w:r>
        <w:rPr>
          <w:rFonts w:hint="eastAsia" w:ascii="宋体" w:hAnsi="宋体" w:eastAsia="宋体" w:cs="宋体"/>
          <w:kern w:val="0"/>
          <w:sz w:val="24"/>
        </w:rPr>
        <w:t>1.5在甲方指定的工作现场进行作业，应遵守甲方的相关规章制度和安全管理要求，服从甲方的工作安排；各项安全由乙方自行负责；</w:t>
      </w:r>
    </w:p>
    <w:p w14:paraId="6801604B">
      <w:pPr>
        <w:widowControl/>
        <w:shd w:val="clear" w:color="auto" w:fill="FFFFFF"/>
        <w:wordWrap w:val="0"/>
        <w:adjustRightInd w:val="0"/>
        <w:spacing w:line="360" w:lineRule="auto"/>
        <w:ind w:firstLine="480"/>
        <w:jc w:val="left"/>
        <w:rPr>
          <w:rFonts w:ascii="宋体" w:hAnsi="宋体" w:eastAsia="宋体" w:cs="仿宋"/>
          <w:kern w:val="0"/>
          <w:sz w:val="24"/>
        </w:rPr>
      </w:pPr>
      <w:r>
        <w:rPr>
          <w:rFonts w:hint="eastAsia" w:ascii="宋体" w:hAnsi="宋体" w:eastAsia="宋体" w:cs="宋体"/>
          <w:kern w:val="0"/>
          <w:sz w:val="24"/>
        </w:rPr>
        <w:t xml:space="preserve">1.6 </w:t>
      </w:r>
      <w:r>
        <w:rPr>
          <w:rFonts w:hint="eastAsia" w:ascii="宋体" w:hAnsi="宋体" w:eastAsia="宋体" w:cs="仿宋"/>
          <w:kern w:val="0"/>
          <w:sz w:val="24"/>
        </w:rPr>
        <w:t>服务时间： 24小时保障电话，本市1小时响应服务；</w:t>
      </w:r>
    </w:p>
    <w:p w14:paraId="17D81E6D">
      <w:pPr>
        <w:adjustRightInd w:val="0"/>
        <w:spacing w:line="360" w:lineRule="auto"/>
        <w:ind w:firstLine="480" w:firstLineChars="200"/>
        <w:jc w:val="left"/>
        <w:rPr>
          <w:rFonts w:ascii="宋体" w:hAnsi="宋体" w:eastAsia="宋体" w:cs="仿宋"/>
          <w:kern w:val="0"/>
          <w:sz w:val="24"/>
        </w:rPr>
      </w:pPr>
      <w:r>
        <w:rPr>
          <w:rFonts w:hint="eastAsia" w:ascii="宋体" w:hAnsi="宋体" w:eastAsia="宋体" w:cs="仿宋"/>
          <w:kern w:val="0"/>
          <w:sz w:val="24"/>
        </w:rPr>
        <w:t>1.7 中标人应该为采购人建立空调循环水系统设施运行使用档案，每年中标人与采购人共同进行一次系统的全面检查，任何缺陷由中标人负责完善，中标人将缺陷原因等内容、完成时间及恢复正常的时间及日期等报告给采购人，报告一式两份。中标人应随时配合采购人进行定期或不定期的检查。</w:t>
      </w:r>
    </w:p>
    <w:p w14:paraId="5913F4C4">
      <w:pPr>
        <w:adjustRightInd w:val="0"/>
        <w:spacing w:line="360" w:lineRule="auto"/>
        <w:ind w:firstLine="480" w:firstLineChars="200"/>
        <w:jc w:val="left"/>
        <w:rPr>
          <w:rFonts w:ascii="宋体" w:hAnsi="宋体" w:eastAsia="宋体" w:cs="仿宋"/>
          <w:kern w:val="0"/>
          <w:sz w:val="24"/>
        </w:rPr>
      </w:pPr>
      <w:r>
        <w:rPr>
          <w:rFonts w:hint="eastAsia" w:ascii="宋体" w:hAnsi="宋体" w:eastAsia="宋体" w:cs="仿宋"/>
          <w:kern w:val="0"/>
          <w:sz w:val="24"/>
        </w:rPr>
        <w:t>1.8 空调循环冷却水系统在日常运行过程中出现藻类现象时及时处理干净，冷却塔填料腐蚀老化，中标人应以采购人及时建议沟通有偿服务更换。所有更新的材料设备为国家和地方环保部门定点的企业合格产品，并提供产品质量认证证书，合格证书等，所更换的材料与原系统所使用的设备一致，且提供一年的质保期，所有材料要求以旧换新。</w:t>
      </w:r>
    </w:p>
    <w:p w14:paraId="6DA1F3BE">
      <w:pPr>
        <w:adjustRightInd w:val="0"/>
        <w:spacing w:line="360" w:lineRule="auto"/>
        <w:ind w:firstLine="480" w:firstLineChars="200"/>
        <w:jc w:val="left"/>
        <w:rPr>
          <w:rFonts w:ascii="宋体" w:hAnsi="宋体" w:eastAsia="宋体" w:cs="仿宋"/>
          <w:kern w:val="0"/>
          <w:sz w:val="24"/>
        </w:rPr>
      </w:pPr>
      <w:r>
        <w:rPr>
          <w:rFonts w:hint="eastAsia" w:ascii="宋体" w:hAnsi="宋体" w:eastAsia="宋体" w:cs="宋体"/>
          <w:kern w:val="0"/>
          <w:sz w:val="24"/>
        </w:rPr>
        <w:t>1.9空调循环水管道，冷却塔的清洗及污水排放必须达到或高于环保部门的标准要求，做到零污染排放，拒绝含磷的排放。</w:t>
      </w:r>
    </w:p>
    <w:p w14:paraId="7910B97B">
      <w:pPr>
        <w:adjustRightInd w:val="0"/>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1.10 乙方进场后要对空调循环水系统进行全面排查整治，要和本项目管理方完成系统交接，并提交水质检测报告交甲方留档。</w:t>
      </w:r>
    </w:p>
    <w:p w14:paraId="11A88E76">
      <w:pPr>
        <w:adjustRightInd w:val="0"/>
        <w:spacing w:line="360" w:lineRule="auto"/>
        <w:jc w:val="left"/>
        <w:rPr>
          <w:rFonts w:ascii="宋体" w:hAnsi="宋体" w:eastAsia="宋体" w:cs="宋体"/>
          <w:kern w:val="0"/>
          <w:sz w:val="24"/>
        </w:rPr>
      </w:pPr>
    </w:p>
    <w:p w14:paraId="0A6DF234">
      <w:pPr>
        <w:adjustRightInd w:val="0"/>
        <w:spacing w:line="360" w:lineRule="auto"/>
        <w:jc w:val="left"/>
        <w:rPr>
          <w:rFonts w:ascii="宋体" w:hAnsi="宋体" w:eastAsia="宋体" w:cs="宋体"/>
          <w:kern w:val="0"/>
          <w:sz w:val="24"/>
        </w:rPr>
      </w:pPr>
      <w:r>
        <w:rPr>
          <w:rFonts w:hint="eastAsia" w:ascii="宋体" w:hAnsi="宋体" w:eastAsia="宋体" w:cs="宋体"/>
          <w:kern w:val="0"/>
          <w:sz w:val="24"/>
        </w:rPr>
        <w:t>2、水质检测标准</w:t>
      </w:r>
    </w:p>
    <w:p w14:paraId="36F1643F">
      <w:pPr>
        <w:adjustRightInd w:val="0"/>
        <w:spacing w:line="360" w:lineRule="atLeast"/>
        <w:jc w:val="center"/>
        <w:rPr>
          <w:rFonts w:hint="default" w:ascii="宋体" w:hAnsi="宋体" w:eastAsia="宋体" w:cs="Times New Roman"/>
          <w:kern w:val="0"/>
          <w:sz w:val="24"/>
          <w:lang w:val="en-US" w:eastAsia="zh-CN"/>
        </w:rPr>
      </w:pPr>
      <w:r>
        <w:rPr>
          <w:rFonts w:hint="eastAsia" w:ascii="宋体" w:hAnsi="宋体" w:eastAsia="宋体" w:cs="Times New Roman"/>
          <w:kern w:val="0"/>
          <w:sz w:val="24"/>
        </w:rPr>
        <w:t>间冷开式系统循环冷却水水质指标GB50050-20</w:t>
      </w:r>
      <w:r>
        <w:rPr>
          <w:rFonts w:hint="eastAsia" w:ascii="宋体" w:hAnsi="宋体" w:eastAsia="宋体" w:cs="Times New Roman"/>
          <w:kern w:val="0"/>
          <w:sz w:val="24"/>
          <w:lang w:val="en-US" w:eastAsia="zh-CN"/>
        </w:rPr>
        <w:t>17</w:t>
      </w:r>
    </w:p>
    <w:tbl>
      <w:tblPr>
        <w:tblStyle w:val="13"/>
        <w:tblpPr w:leftFromText="180" w:rightFromText="180" w:vertAnchor="text" w:horzAnchor="margin" w:tblpY="139"/>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3"/>
        <w:gridCol w:w="1250"/>
        <w:gridCol w:w="3827"/>
        <w:gridCol w:w="1690"/>
      </w:tblGrid>
      <w:tr w14:paraId="436A3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153" w:type="dxa"/>
            <w:tcBorders>
              <w:top w:val="single" w:color="auto" w:sz="4" w:space="0"/>
              <w:left w:val="single" w:color="auto" w:sz="4" w:space="0"/>
              <w:bottom w:val="single" w:color="auto" w:sz="4" w:space="0"/>
              <w:right w:val="single" w:color="auto" w:sz="4" w:space="0"/>
            </w:tcBorders>
          </w:tcPr>
          <w:p w14:paraId="659F96EE">
            <w:pPr>
              <w:adjustRightInd w:val="0"/>
              <w:spacing w:line="360" w:lineRule="atLeast"/>
              <w:ind w:firstLine="720" w:firstLineChars="300"/>
              <w:jc w:val="left"/>
              <w:rPr>
                <w:rFonts w:ascii="宋体" w:hAnsi="宋体" w:eastAsia="宋体" w:cs="黑体"/>
                <w:b/>
                <w:bCs/>
                <w:kern w:val="0"/>
                <w:sz w:val="24"/>
              </w:rPr>
            </w:pPr>
            <w:r>
              <w:rPr>
                <w:rFonts w:hint="eastAsia" w:ascii="宋体" w:hAnsi="宋体" w:eastAsia="宋体" w:cs="Times New Roman"/>
                <w:color w:val="000000"/>
                <w:kern w:val="0"/>
                <w:sz w:val="24"/>
              </w:rPr>
              <w:t>项目</w:t>
            </w:r>
          </w:p>
        </w:tc>
        <w:tc>
          <w:tcPr>
            <w:tcW w:w="1250" w:type="dxa"/>
            <w:tcBorders>
              <w:top w:val="single" w:color="auto" w:sz="4" w:space="0"/>
              <w:left w:val="single" w:color="auto" w:sz="4" w:space="0"/>
              <w:bottom w:val="single" w:color="auto" w:sz="4" w:space="0"/>
              <w:right w:val="single" w:color="auto" w:sz="4" w:space="0"/>
            </w:tcBorders>
          </w:tcPr>
          <w:p w14:paraId="366E24B1">
            <w:pPr>
              <w:adjustRightInd w:val="0"/>
              <w:spacing w:line="360" w:lineRule="atLeast"/>
              <w:ind w:firstLine="240" w:firstLineChars="100"/>
              <w:jc w:val="left"/>
              <w:rPr>
                <w:rFonts w:ascii="宋体" w:hAnsi="宋体" w:eastAsia="宋体" w:cs="黑体"/>
                <w:b/>
                <w:bCs/>
                <w:kern w:val="0"/>
                <w:sz w:val="24"/>
              </w:rPr>
            </w:pPr>
            <w:r>
              <w:rPr>
                <w:rFonts w:hint="eastAsia" w:ascii="宋体" w:hAnsi="宋体" w:eastAsia="宋体" w:cs="Times New Roman"/>
                <w:color w:val="000000"/>
                <w:kern w:val="0"/>
                <w:sz w:val="24"/>
              </w:rPr>
              <w:t>单位</w:t>
            </w:r>
          </w:p>
        </w:tc>
        <w:tc>
          <w:tcPr>
            <w:tcW w:w="3827" w:type="dxa"/>
            <w:tcBorders>
              <w:top w:val="single" w:color="auto" w:sz="4" w:space="0"/>
              <w:left w:val="single" w:color="auto" w:sz="4" w:space="0"/>
              <w:bottom w:val="single" w:color="auto" w:sz="4" w:space="0"/>
              <w:right w:val="single" w:color="auto" w:sz="4" w:space="0"/>
            </w:tcBorders>
          </w:tcPr>
          <w:p w14:paraId="3A827A49">
            <w:pPr>
              <w:adjustRightInd w:val="0"/>
              <w:spacing w:line="360" w:lineRule="atLeast"/>
              <w:jc w:val="center"/>
              <w:rPr>
                <w:rFonts w:ascii="宋体" w:hAnsi="宋体" w:eastAsia="宋体" w:cs="黑体"/>
                <w:b/>
                <w:bCs/>
                <w:kern w:val="0"/>
                <w:sz w:val="24"/>
              </w:rPr>
            </w:pPr>
            <w:r>
              <w:rPr>
                <w:rFonts w:hint="eastAsia" w:ascii="宋体" w:hAnsi="宋体" w:eastAsia="宋体" w:cs="Times New Roman"/>
                <w:color w:val="000000"/>
                <w:kern w:val="0"/>
                <w:sz w:val="24"/>
              </w:rPr>
              <w:t>要求或使用条件</w:t>
            </w:r>
          </w:p>
        </w:tc>
        <w:tc>
          <w:tcPr>
            <w:tcW w:w="1690" w:type="dxa"/>
            <w:tcBorders>
              <w:top w:val="single" w:color="auto" w:sz="4" w:space="0"/>
              <w:left w:val="single" w:color="auto" w:sz="4" w:space="0"/>
              <w:bottom w:val="single" w:color="auto" w:sz="4" w:space="0"/>
              <w:right w:val="single" w:color="auto" w:sz="4" w:space="0"/>
            </w:tcBorders>
          </w:tcPr>
          <w:p w14:paraId="3A9A1025">
            <w:pPr>
              <w:adjustRightInd w:val="0"/>
              <w:spacing w:line="360" w:lineRule="atLeast"/>
              <w:jc w:val="center"/>
              <w:rPr>
                <w:rFonts w:ascii="宋体" w:hAnsi="宋体" w:eastAsia="宋体" w:cs="黑体"/>
                <w:b/>
                <w:bCs/>
                <w:kern w:val="0"/>
                <w:sz w:val="24"/>
              </w:rPr>
            </w:pPr>
            <w:r>
              <w:rPr>
                <w:rFonts w:hint="eastAsia" w:ascii="宋体" w:hAnsi="宋体" w:eastAsia="宋体" w:cs="Times New Roman"/>
                <w:color w:val="000000"/>
                <w:kern w:val="0"/>
                <w:sz w:val="24"/>
              </w:rPr>
              <w:t>许用值</w:t>
            </w:r>
          </w:p>
        </w:tc>
      </w:tr>
      <w:tr w14:paraId="49803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153" w:type="dxa"/>
            <w:tcBorders>
              <w:top w:val="single" w:color="auto" w:sz="4" w:space="0"/>
              <w:left w:val="single" w:color="auto" w:sz="4" w:space="0"/>
              <w:bottom w:val="single" w:color="auto" w:sz="4" w:space="0"/>
              <w:right w:val="single" w:color="auto" w:sz="4" w:space="0"/>
            </w:tcBorders>
          </w:tcPr>
          <w:p w14:paraId="5D9350EE">
            <w:pPr>
              <w:adjustRightInd w:val="0"/>
              <w:spacing w:line="360" w:lineRule="atLeast"/>
              <w:ind w:firstLine="720" w:firstLineChars="300"/>
              <w:jc w:val="left"/>
              <w:rPr>
                <w:rFonts w:ascii="宋体" w:hAnsi="宋体" w:eastAsia="宋体" w:cs="黑体"/>
                <w:b/>
                <w:bCs/>
                <w:kern w:val="0"/>
                <w:sz w:val="24"/>
              </w:rPr>
            </w:pPr>
            <w:r>
              <w:rPr>
                <w:rFonts w:hint="eastAsia" w:ascii="宋体" w:hAnsi="宋体" w:eastAsia="宋体" w:cs="Times New Roman"/>
                <w:color w:val="000000"/>
                <w:kern w:val="0"/>
                <w:sz w:val="24"/>
              </w:rPr>
              <w:t>浊度</w:t>
            </w:r>
          </w:p>
        </w:tc>
        <w:tc>
          <w:tcPr>
            <w:tcW w:w="1250" w:type="dxa"/>
            <w:tcBorders>
              <w:top w:val="single" w:color="auto" w:sz="4" w:space="0"/>
              <w:left w:val="single" w:color="auto" w:sz="4" w:space="0"/>
              <w:bottom w:val="single" w:color="auto" w:sz="4" w:space="0"/>
              <w:right w:val="single" w:color="auto" w:sz="4" w:space="0"/>
            </w:tcBorders>
          </w:tcPr>
          <w:p w14:paraId="77949858">
            <w:pPr>
              <w:adjustRightInd w:val="0"/>
              <w:spacing w:line="360" w:lineRule="atLeast"/>
              <w:ind w:firstLine="240" w:firstLineChars="100"/>
              <w:jc w:val="left"/>
              <w:rPr>
                <w:rFonts w:ascii="宋体" w:hAnsi="宋体" w:eastAsia="宋体" w:cs="黑体"/>
                <w:b/>
                <w:bCs/>
                <w:kern w:val="0"/>
                <w:sz w:val="24"/>
              </w:rPr>
            </w:pPr>
            <w:r>
              <w:rPr>
                <w:rFonts w:hint="eastAsia" w:ascii="宋体" w:hAnsi="宋体" w:eastAsia="宋体" w:cs="Times New Roman"/>
                <w:color w:val="000000"/>
                <w:kern w:val="0"/>
                <w:sz w:val="24"/>
              </w:rPr>
              <w:t>NTU</w:t>
            </w:r>
          </w:p>
        </w:tc>
        <w:tc>
          <w:tcPr>
            <w:tcW w:w="3827" w:type="dxa"/>
            <w:tcBorders>
              <w:top w:val="single" w:color="auto" w:sz="4" w:space="0"/>
              <w:left w:val="single" w:color="auto" w:sz="4" w:space="0"/>
              <w:bottom w:val="single" w:color="auto" w:sz="4" w:space="0"/>
              <w:right w:val="single" w:color="auto" w:sz="4" w:space="0"/>
            </w:tcBorders>
          </w:tcPr>
          <w:p w14:paraId="1AA558AA">
            <w:pPr>
              <w:adjustRightInd w:val="0"/>
              <w:spacing w:line="360" w:lineRule="atLeast"/>
              <w:ind w:firstLine="240" w:firstLineChars="100"/>
              <w:jc w:val="center"/>
              <w:rPr>
                <w:rFonts w:ascii="宋体" w:hAnsi="宋体" w:eastAsia="宋体" w:cs="黑体"/>
                <w:b/>
                <w:bCs/>
                <w:kern w:val="0"/>
                <w:sz w:val="24"/>
              </w:rPr>
            </w:pPr>
            <w:r>
              <w:rPr>
                <w:rFonts w:hint="eastAsia" w:ascii="宋体" w:hAnsi="宋体" w:eastAsia="宋体" w:cs="Times New Roman"/>
                <w:color w:val="000000"/>
                <w:kern w:val="0"/>
                <w:sz w:val="24"/>
              </w:rPr>
              <w:t>根据生产工艺要求确定</w:t>
            </w:r>
          </w:p>
        </w:tc>
        <w:tc>
          <w:tcPr>
            <w:tcW w:w="1690" w:type="dxa"/>
            <w:tcBorders>
              <w:top w:val="single" w:color="auto" w:sz="4" w:space="0"/>
              <w:left w:val="single" w:color="auto" w:sz="4" w:space="0"/>
              <w:bottom w:val="single" w:color="auto" w:sz="4" w:space="0"/>
              <w:right w:val="single" w:color="auto" w:sz="4" w:space="0"/>
            </w:tcBorders>
          </w:tcPr>
          <w:p w14:paraId="54472C6D">
            <w:pPr>
              <w:adjustRightInd w:val="0"/>
              <w:spacing w:line="360" w:lineRule="atLeast"/>
              <w:jc w:val="center"/>
              <w:rPr>
                <w:rFonts w:ascii="宋体" w:hAnsi="宋体" w:eastAsia="宋体" w:cs="黑体"/>
                <w:b/>
                <w:bCs/>
                <w:kern w:val="0"/>
                <w:sz w:val="24"/>
              </w:rPr>
            </w:pPr>
            <w:r>
              <w:rPr>
                <w:rFonts w:hint="eastAsia" w:ascii="宋体" w:hAnsi="宋体" w:eastAsia="宋体" w:cs="Times New Roman"/>
                <w:color w:val="000000"/>
                <w:kern w:val="0"/>
                <w:sz w:val="24"/>
              </w:rPr>
              <w:t>≤</w:t>
            </w:r>
            <w:r>
              <w:rPr>
                <w:rFonts w:hint="eastAsia" w:ascii="宋体" w:hAnsi="宋体" w:eastAsia="宋体" w:cs="Times New Roman"/>
                <w:color w:val="000000"/>
                <w:kern w:val="0"/>
                <w:sz w:val="24"/>
                <w:lang w:val="en-US" w:eastAsia="zh-CN"/>
              </w:rPr>
              <w:t>2</w:t>
            </w:r>
            <w:r>
              <w:rPr>
                <w:rFonts w:hint="eastAsia" w:ascii="宋体" w:hAnsi="宋体" w:eastAsia="宋体" w:cs="Times New Roman"/>
                <w:color w:val="000000"/>
                <w:kern w:val="0"/>
                <w:sz w:val="24"/>
              </w:rPr>
              <w:t>0</w:t>
            </w:r>
          </w:p>
        </w:tc>
      </w:tr>
      <w:tr w14:paraId="04FA7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153" w:type="dxa"/>
            <w:tcBorders>
              <w:top w:val="single" w:color="auto" w:sz="4" w:space="0"/>
              <w:left w:val="single" w:color="auto" w:sz="4" w:space="0"/>
              <w:bottom w:val="single" w:color="auto" w:sz="4" w:space="0"/>
              <w:right w:val="single" w:color="auto" w:sz="4" w:space="0"/>
            </w:tcBorders>
          </w:tcPr>
          <w:p w14:paraId="5659CA7C">
            <w:pPr>
              <w:adjustRightInd w:val="0"/>
              <w:spacing w:line="360" w:lineRule="atLeast"/>
              <w:jc w:val="center"/>
              <w:rPr>
                <w:rFonts w:ascii="宋体" w:hAnsi="宋体" w:eastAsia="宋体" w:cs="黑体"/>
                <w:b/>
                <w:bCs/>
                <w:kern w:val="0"/>
                <w:sz w:val="24"/>
              </w:rPr>
            </w:pPr>
            <w:r>
              <w:rPr>
                <w:rFonts w:hint="eastAsia" w:ascii="宋体" w:hAnsi="宋体" w:eastAsia="宋体" w:cs="Times New Roman"/>
                <w:color w:val="000000"/>
                <w:kern w:val="0"/>
                <w:sz w:val="24"/>
              </w:rPr>
              <w:t>PH</w:t>
            </w:r>
          </w:p>
        </w:tc>
        <w:tc>
          <w:tcPr>
            <w:tcW w:w="1250" w:type="dxa"/>
            <w:tcBorders>
              <w:top w:val="single" w:color="auto" w:sz="4" w:space="0"/>
              <w:left w:val="single" w:color="auto" w:sz="4" w:space="0"/>
              <w:bottom w:val="single" w:color="auto" w:sz="4" w:space="0"/>
              <w:right w:val="single" w:color="auto" w:sz="4" w:space="0"/>
            </w:tcBorders>
          </w:tcPr>
          <w:p w14:paraId="4DB9E93D">
            <w:pPr>
              <w:adjustRightInd w:val="0"/>
              <w:spacing w:line="360" w:lineRule="atLeast"/>
              <w:ind w:firstLine="480" w:firstLineChars="200"/>
              <w:jc w:val="left"/>
              <w:rPr>
                <w:rFonts w:ascii="宋体" w:hAnsi="宋体" w:eastAsia="宋体" w:cs="黑体"/>
                <w:b/>
                <w:bCs/>
                <w:kern w:val="0"/>
                <w:sz w:val="24"/>
              </w:rPr>
            </w:pPr>
            <w:r>
              <w:rPr>
                <w:rFonts w:hint="eastAsia" w:ascii="宋体" w:hAnsi="宋体" w:eastAsia="宋体" w:cs="Times New Roman"/>
                <w:color w:val="000000"/>
                <w:kern w:val="0"/>
                <w:sz w:val="24"/>
              </w:rPr>
              <w:t>-</w:t>
            </w:r>
          </w:p>
        </w:tc>
        <w:tc>
          <w:tcPr>
            <w:tcW w:w="3827" w:type="dxa"/>
            <w:tcBorders>
              <w:top w:val="single" w:color="auto" w:sz="4" w:space="0"/>
              <w:left w:val="single" w:color="auto" w:sz="4" w:space="0"/>
              <w:bottom w:val="single" w:color="auto" w:sz="4" w:space="0"/>
              <w:right w:val="single" w:color="auto" w:sz="4" w:space="0"/>
            </w:tcBorders>
          </w:tcPr>
          <w:p w14:paraId="70359C1A">
            <w:pPr>
              <w:adjustRightInd w:val="0"/>
              <w:spacing w:line="360" w:lineRule="atLeast"/>
              <w:ind w:firstLine="482" w:firstLineChars="200"/>
              <w:jc w:val="center"/>
              <w:rPr>
                <w:rFonts w:ascii="宋体" w:hAnsi="宋体" w:eastAsia="宋体" w:cs="黑体"/>
                <w:b/>
                <w:bCs/>
                <w:kern w:val="0"/>
                <w:sz w:val="24"/>
              </w:rPr>
            </w:pPr>
          </w:p>
        </w:tc>
        <w:tc>
          <w:tcPr>
            <w:tcW w:w="1690" w:type="dxa"/>
            <w:tcBorders>
              <w:top w:val="single" w:color="auto" w:sz="4" w:space="0"/>
              <w:left w:val="single" w:color="auto" w:sz="4" w:space="0"/>
              <w:bottom w:val="single" w:color="auto" w:sz="4" w:space="0"/>
              <w:right w:val="single" w:color="auto" w:sz="4" w:space="0"/>
            </w:tcBorders>
          </w:tcPr>
          <w:p w14:paraId="53B29492">
            <w:pPr>
              <w:adjustRightInd w:val="0"/>
              <w:spacing w:line="360" w:lineRule="atLeast"/>
              <w:ind w:firstLine="240" w:firstLineChars="100"/>
              <w:jc w:val="left"/>
              <w:rPr>
                <w:rFonts w:ascii="宋体" w:hAnsi="宋体" w:eastAsia="宋体" w:cs="黑体"/>
                <w:b/>
                <w:bCs/>
                <w:kern w:val="0"/>
                <w:sz w:val="24"/>
              </w:rPr>
            </w:pPr>
            <w:r>
              <w:rPr>
                <w:rFonts w:hint="eastAsia" w:ascii="宋体" w:hAnsi="宋体" w:eastAsia="宋体" w:cs="Times New Roman"/>
                <w:color w:val="000000"/>
                <w:kern w:val="0"/>
                <w:sz w:val="24"/>
                <w:lang w:val="en-US" w:eastAsia="zh-CN"/>
              </w:rPr>
              <w:t>6.8</w:t>
            </w:r>
            <w:r>
              <w:rPr>
                <w:rFonts w:hint="eastAsia" w:ascii="宋体" w:hAnsi="宋体" w:eastAsia="宋体" w:cs="Times New Roman"/>
                <w:color w:val="000000"/>
                <w:kern w:val="0"/>
                <w:sz w:val="24"/>
              </w:rPr>
              <w:t>-9.5</w:t>
            </w:r>
          </w:p>
        </w:tc>
      </w:tr>
      <w:tr w14:paraId="32CDE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153" w:type="dxa"/>
            <w:vMerge w:val="restart"/>
            <w:tcBorders>
              <w:top w:val="single" w:color="auto" w:sz="4" w:space="0"/>
              <w:left w:val="single" w:color="auto" w:sz="4" w:space="0"/>
              <w:bottom w:val="single" w:color="auto" w:sz="4" w:space="0"/>
              <w:right w:val="single" w:color="auto" w:sz="4" w:space="0"/>
            </w:tcBorders>
          </w:tcPr>
          <w:p w14:paraId="182A57B1">
            <w:pPr>
              <w:adjustRightInd w:val="0"/>
              <w:spacing w:line="360" w:lineRule="auto"/>
              <w:jc w:val="left"/>
              <w:rPr>
                <w:rFonts w:ascii="宋体" w:hAnsi="宋体" w:eastAsia="宋体" w:cs="黑体"/>
                <w:b/>
                <w:bCs/>
                <w:kern w:val="0"/>
                <w:sz w:val="24"/>
              </w:rPr>
            </w:pPr>
            <w:r>
              <w:rPr>
                <w:rFonts w:hint="eastAsia" w:ascii="宋体" w:hAnsi="宋体" w:eastAsia="宋体" w:cs="Times New Roman"/>
                <w:color w:val="000000"/>
                <w:kern w:val="0"/>
                <w:sz w:val="24"/>
              </w:rPr>
              <w:t>钙硬度+</w:t>
            </w:r>
            <w:r>
              <w:rPr>
                <w:rFonts w:hint="eastAsia" w:ascii="宋体" w:hAnsi="宋体" w:eastAsia="宋体" w:cs="Times New Roman"/>
                <w:color w:val="000000"/>
                <w:kern w:val="0"/>
                <w:sz w:val="24"/>
                <w:lang w:val="en-US" w:eastAsia="zh-CN"/>
              </w:rPr>
              <w:t>总</w:t>
            </w:r>
            <w:r>
              <w:rPr>
                <w:rFonts w:hint="eastAsia" w:ascii="宋体" w:hAnsi="宋体" w:eastAsia="宋体" w:cs="Times New Roman"/>
                <w:color w:val="000000"/>
                <w:kern w:val="0"/>
                <w:sz w:val="24"/>
              </w:rPr>
              <w:t>碱度(以CaCO</w:t>
            </w:r>
            <w:r>
              <w:rPr>
                <w:rFonts w:hint="eastAsia" w:ascii="宋体" w:hAnsi="宋体" w:eastAsia="宋体" w:cs="Times New Roman"/>
                <w:color w:val="000000"/>
                <w:kern w:val="0"/>
                <w:sz w:val="24"/>
                <w:vertAlign w:val="subscript"/>
              </w:rPr>
              <w:t>3</w:t>
            </w:r>
            <w:r>
              <w:rPr>
                <w:rFonts w:hint="eastAsia" w:ascii="宋体" w:hAnsi="宋体" w:eastAsia="宋体" w:cs="Times New Roman"/>
                <w:color w:val="000000"/>
                <w:kern w:val="0"/>
                <w:sz w:val="24"/>
              </w:rPr>
              <w:t>计)</w:t>
            </w:r>
          </w:p>
        </w:tc>
        <w:tc>
          <w:tcPr>
            <w:tcW w:w="1250" w:type="dxa"/>
            <w:vMerge w:val="restart"/>
            <w:tcBorders>
              <w:top w:val="single" w:color="auto" w:sz="4" w:space="0"/>
              <w:left w:val="single" w:color="auto" w:sz="4" w:space="0"/>
              <w:bottom w:val="single" w:color="auto" w:sz="4" w:space="0"/>
              <w:right w:val="single" w:color="auto" w:sz="4" w:space="0"/>
            </w:tcBorders>
          </w:tcPr>
          <w:p w14:paraId="2B72CF88">
            <w:pPr>
              <w:adjustRightInd w:val="0"/>
              <w:spacing w:line="600" w:lineRule="auto"/>
              <w:jc w:val="center"/>
              <w:rPr>
                <w:rFonts w:ascii="宋体" w:hAnsi="宋体" w:eastAsia="宋体" w:cs="黑体"/>
                <w:b/>
                <w:bCs/>
                <w:kern w:val="0"/>
                <w:sz w:val="24"/>
              </w:rPr>
            </w:pPr>
            <w:r>
              <w:rPr>
                <w:rFonts w:hint="eastAsia" w:ascii="宋体" w:hAnsi="宋体" w:eastAsia="宋体" w:cs="Times New Roman"/>
                <w:color w:val="000000"/>
                <w:kern w:val="0"/>
                <w:sz w:val="24"/>
              </w:rPr>
              <w:t>mg/L</w:t>
            </w:r>
          </w:p>
        </w:tc>
        <w:tc>
          <w:tcPr>
            <w:tcW w:w="3827" w:type="dxa"/>
            <w:tcBorders>
              <w:top w:val="single" w:color="auto" w:sz="4" w:space="0"/>
              <w:left w:val="single" w:color="auto" w:sz="4" w:space="0"/>
              <w:bottom w:val="single" w:color="auto" w:sz="4" w:space="0"/>
              <w:right w:val="single" w:color="auto" w:sz="4" w:space="0"/>
            </w:tcBorders>
          </w:tcPr>
          <w:p w14:paraId="6E907104">
            <w:pPr>
              <w:adjustRightInd w:val="0"/>
              <w:spacing w:line="360" w:lineRule="atLeast"/>
              <w:jc w:val="center"/>
              <w:rPr>
                <w:rFonts w:ascii="宋体" w:hAnsi="宋体" w:eastAsia="宋体" w:cs="黑体"/>
                <w:b/>
                <w:bCs/>
                <w:kern w:val="0"/>
                <w:sz w:val="24"/>
              </w:rPr>
            </w:pPr>
            <w:r>
              <w:rPr>
                <w:rFonts w:hint="eastAsia" w:ascii="宋体" w:hAnsi="宋体" w:eastAsia="宋体" w:cs="Times New Roman"/>
                <w:color w:val="000000"/>
                <w:kern w:val="0"/>
                <w:sz w:val="24"/>
              </w:rPr>
              <w:t>碳酸钙稳定指数RSI≥3.3</w:t>
            </w:r>
          </w:p>
        </w:tc>
        <w:tc>
          <w:tcPr>
            <w:tcW w:w="1690" w:type="dxa"/>
            <w:tcBorders>
              <w:top w:val="single" w:color="auto" w:sz="4" w:space="0"/>
              <w:left w:val="single" w:color="auto" w:sz="4" w:space="0"/>
              <w:bottom w:val="single" w:color="auto" w:sz="4" w:space="0"/>
              <w:right w:val="single" w:color="auto" w:sz="4" w:space="0"/>
            </w:tcBorders>
          </w:tcPr>
          <w:p w14:paraId="364C93C6">
            <w:pPr>
              <w:adjustRightInd w:val="0"/>
              <w:spacing w:line="360" w:lineRule="atLeast"/>
              <w:jc w:val="center"/>
              <w:rPr>
                <w:rFonts w:ascii="宋体" w:hAnsi="宋体" w:eastAsia="宋体" w:cs="黑体"/>
                <w:b/>
                <w:bCs/>
                <w:kern w:val="0"/>
                <w:sz w:val="24"/>
              </w:rPr>
            </w:pPr>
            <w:r>
              <w:rPr>
                <w:rFonts w:hint="eastAsia" w:ascii="宋体" w:hAnsi="宋体" w:eastAsia="宋体" w:cs="Times New Roman"/>
                <w:color w:val="000000"/>
                <w:kern w:val="0"/>
                <w:sz w:val="24"/>
              </w:rPr>
              <w:t>≤1100</w:t>
            </w:r>
          </w:p>
        </w:tc>
      </w:tr>
      <w:tr w14:paraId="55F8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153" w:type="dxa"/>
            <w:vMerge w:val="continue"/>
            <w:tcBorders>
              <w:top w:val="single" w:color="auto" w:sz="4" w:space="0"/>
              <w:left w:val="single" w:color="auto" w:sz="4" w:space="0"/>
              <w:bottom w:val="single" w:color="auto" w:sz="4" w:space="0"/>
              <w:right w:val="single" w:color="auto" w:sz="4" w:space="0"/>
            </w:tcBorders>
            <w:vAlign w:val="center"/>
          </w:tcPr>
          <w:p w14:paraId="21181235">
            <w:pPr>
              <w:widowControl/>
              <w:adjustRightInd w:val="0"/>
              <w:spacing w:line="360" w:lineRule="atLeast"/>
              <w:jc w:val="center"/>
              <w:rPr>
                <w:rFonts w:ascii="宋体" w:hAnsi="宋体" w:eastAsia="宋体" w:cs="黑体"/>
                <w:b/>
                <w:bCs/>
                <w:kern w:val="0"/>
                <w:sz w:val="24"/>
              </w:rPr>
            </w:pPr>
          </w:p>
        </w:tc>
        <w:tc>
          <w:tcPr>
            <w:tcW w:w="1250" w:type="dxa"/>
            <w:vMerge w:val="continue"/>
            <w:tcBorders>
              <w:top w:val="single" w:color="auto" w:sz="4" w:space="0"/>
              <w:left w:val="single" w:color="auto" w:sz="4" w:space="0"/>
              <w:bottom w:val="single" w:color="auto" w:sz="4" w:space="0"/>
              <w:right w:val="single" w:color="auto" w:sz="4" w:space="0"/>
            </w:tcBorders>
            <w:vAlign w:val="center"/>
          </w:tcPr>
          <w:p w14:paraId="337F33AD">
            <w:pPr>
              <w:widowControl/>
              <w:adjustRightInd w:val="0"/>
              <w:spacing w:line="360" w:lineRule="atLeast"/>
              <w:jc w:val="center"/>
              <w:rPr>
                <w:rFonts w:ascii="宋体" w:hAnsi="宋体" w:eastAsia="宋体" w:cs="黑体"/>
                <w:b/>
                <w:bCs/>
                <w:kern w:val="0"/>
                <w:sz w:val="24"/>
              </w:rPr>
            </w:pPr>
          </w:p>
        </w:tc>
        <w:tc>
          <w:tcPr>
            <w:tcW w:w="3827" w:type="dxa"/>
            <w:tcBorders>
              <w:top w:val="single" w:color="auto" w:sz="4" w:space="0"/>
              <w:left w:val="single" w:color="auto" w:sz="4" w:space="0"/>
              <w:bottom w:val="single" w:color="auto" w:sz="4" w:space="0"/>
              <w:right w:val="single" w:color="auto" w:sz="4" w:space="0"/>
            </w:tcBorders>
          </w:tcPr>
          <w:p w14:paraId="31EE4512">
            <w:pPr>
              <w:adjustRightInd w:val="0"/>
              <w:spacing w:line="480" w:lineRule="auto"/>
              <w:jc w:val="center"/>
              <w:rPr>
                <w:rFonts w:ascii="宋体" w:hAnsi="宋体" w:eastAsia="宋体" w:cs="黑体"/>
                <w:b/>
                <w:bCs/>
                <w:kern w:val="0"/>
                <w:sz w:val="24"/>
              </w:rPr>
            </w:pPr>
            <w:r>
              <w:rPr>
                <w:rFonts w:hint="eastAsia" w:ascii="宋体" w:hAnsi="宋体" w:eastAsia="宋体" w:cs="Times New Roman"/>
                <w:color w:val="000000"/>
                <w:kern w:val="0"/>
                <w:sz w:val="24"/>
              </w:rPr>
              <w:t>传热面水侧壁温大于70℃</w:t>
            </w:r>
          </w:p>
        </w:tc>
        <w:tc>
          <w:tcPr>
            <w:tcW w:w="1690" w:type="dxa"/>
            <w:tcBorders>
              <w:top w:val="single" w:color="auto" w:sz="4" w:space="0"/>
              <w:left w:val="single" w:color="auto" w:sz="4" w:space="0"/>
              <w:bottom w:val="single" w:color="auto" w:sz="4" w:space="0"/>
              <w:right w:val="single" w:color="auto" w:sz="4" w:space="0"/>
            </w:tcBorders>
          </w:tcPr>
          <w:p w14:paraId="1CDC997C">
            <w:pPr>
              <w:adjustRightInd w:val="0"/>
              <w:spacing w:line="360" w:lineRule="atLeast"/>
              <w:jc w:val="center"/>
              <w:rPr>
                <w:rFonts w:ascii="宋体" w:hAnsi="宋体" w:eastAsia="宋体" w:cs="黑体"/>
                <w:b/>
                <w:bCs/>
                <w:kern w:val="0"/>
                <w:sz w:val="24"/>
              </w:rPr>
            </w:pPr>
            <w:r>
              <w:rPr>
                <w:rFonts w:hint="eastAsia" w:ascii="宋体" w:hAnsi="宋体" w:eastAsia="宋体" w:cs="Times New Roman"/>
                <w:color w:val="000000"/>
                <w:kern w:val="0"/>
                <w:sz w:val="24"/>
              </w:rPr>
              <w:t>钙硬度小于200</w:t>
            </w:r>
          </w:p>
        </w:tc>
      </w:tr>
      <w:tr w14:paraId="4C6B2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53" w:type="dxa"/>
            <w:tcBorders>
              <w:top w:val="single" w:color="auto" w:sz="4" w:space="0"/>
              <w:left w:val="single" w:color="auto" w:sz="4" w:space="0"/>
              <w:bottom w:val="single" w:color="auto" w:sz="4" w:space="0"/>
              <w:right w:val="single" w:color="auto" w:sz="4" w:space="0"/>
            </w:tcBorders>
          </w:tcPr>
          <w:p w14:paraId="494E38B8">
            <w:pPr>
              <w:adjustRightInd w:val="0"/>
              <w:spacing w:line="360" w:lineRule="atLeast"/>
              <w:jc w:val="center"/>
              <w:rPr>
                <w:rFonts w:ascii="宋体" w:hAnsi="宋体" w:eastAsia="宋体" w:cs="黑体"/>
                <w:b/>
                <w:bCs/>
                <w:kern w:val="0"/>
                <w:sz w:val="24"/>
              </w:rPr>
            </w:pPr>
            <w:r>
              <w:rPr>
                <w:rFonts w:hint="eastAsia" w:ascii="宋体" w:hAnsi="宋体" w:eastAsia="宋体" w:cs="Times New Roman"/>
                <w:color w:val="000000"/>
                <w:kern w:val="0"/>
                <w:sz w:val="24"/>
              </w:rPr>
              <w:t>总铁</w:t>
            </w:r>
          </w:p>
        </w:tc>
        <w:tc>
          <w:tcPr>
            <w:tcW w:w="1250" w:type="dxa"/>
            <w:tcBorders>
              <w:top w:val="single" w:color="auto" w:sz="4" w:space="0"/>
              <w:left w:val="single" w:color="auto" w:sz="4" w:space="0"/>
              <w:bottom w:val="single" w:color="auto" w:sz="4" w:space="0"/>
              <w:right w:val="single" w:color="auto" w:sz="4" w:space="0"/>
            </w:tcBorders>
          </w:tcPr>
          <w:p w14:paraId="58E2CBF3">
            <w:pPr>
              <w:adjustRightInd w:val="0"/>
              <w:spacing w:line="360" w:lineRule="atLeast"/>
              <w:jc w:val="center"/>
              <w:rPr>
                <w:rFonts w:ascii="宋体" w:hAnsi="宋体" w:eastAsia="宋体" w:cs="黑体"/>
                <w:b/>
                <w:bCs/>
                <w:kern w:val="0"/>
                <w:sz w:val="24"/>
              </w:rPr>
            </w:pPr>
            <w:r>
              <w:rPr>
                <w:rFonts w:hint="eastAsia" w:ascii="宋体" w:hAnsi="宋体" w:eastAsia="宋体" w:cs="Times New Roman"/>
                <w:color w:val="000000"/>
                <w:kern w:val="0"/>
                <w:sz w:val="24"/>
              </w:rPr>
              <w:t>mg/L</w:t>
            </w:r>
          </w:p>
        </w:tc>
        <w:tc>
          <w:tcPr>
            <w:tcW w:w="3827" w:type="dxa"/>
            <w:tcBorders>
              <w:top w:val="single" w:color="auto" w:sz="4" w:space="0"/>
              <w:left w:val="single" w:color="auto" w:sz="4" w:space="0"/>
              <w:bottom w:val="single" w:color="auto" w:sz="4" w:space="0"/>
              <w:right w:val="single" w:color="auto" w:sz="4" w:space="0"/>
            </w:tcBorders>
          </w:tcPr>
          <w:p w14:paraId="0FB712B4">
            <w:pPr>
              <w:adjustRightInd w:val="0"/>
              <w:spacing w:line="360" w:lineRule="atLeast"/>
              <w:jc w:val="center"/>
              <w:rPr>
                <w:rFonts w:ascii="宋体" w:hAnsi="宋体" w:eastAsia="宋体" w:cs="黑体"/>
                <w:b/>
                <w:bCs/>
                <w:kern w:val="0"/>
                <w:sz w:val="24"/>
              </w:rPr>
            </w:pPr>
            <w:r>
              <w:rPr>
                <w:rFonts w:hint="eastAsia" w:ascii="宋体" w:hAnsi="宋体" w:eastAsia="宋体" w:cs="Times New Roman"/>
                <w:color w:val="000000"/>
                <w:kern w:val="0"/>
                <w:sz w:val="24"/>
              </w:rPr>
              <w:t>-</w:t>
            </w:r>
          </w:p>
        </w:tc>
        <w:tc>
          <w:tcPr>
            <w:tcW w:w="1690" w:type="dxa"/>
            <w:tcBorders>
              <w:top w:val="single" w:color="auto" w:sz="4" w:space="0"/>
              <w:left w:val="single" w:color="auto" w:sz="4" w:space="0"/>
              <w:bottom w:val="single" w:color="auto" w:sz="4" w:space="0"/>
              <w:right w:val="single" w:color="auto" w:sz="4" w:space="0"/>
            </w:tcBorders>
          </w:tcPr>
          <w:p w14:paraId="7D554CAB">
            <w:pPr>
              <w:adjustRightInd w:val="0"/>
              <w:spacing w:line="360" w:lineRule="atLeast"/>
              <w:jc w:val="center"/>
              <w:rPr>
                <w:rFonts w:ascii="宋体" w:hAnsi="宋体" w:eastAsia="宋体" w:cs="黑体"/>
                <w:b/>
                <w:bCs/>
                <w:kern w:val="0"/>
                <w:sz w:val="24"/>
              </w:rPr>
            </w:pPr>
            <w:r>
              <w:rPr>
                <w:rFonts w:hint="eastAsia" w:ascii="宋体" w:hAnsi="宋体" w:eastAsia="宋体" w:cs="Times New Roman"/>
                <w:color w:val="000000"/>
                <w:kern w:val="0"/>
                <w:sz w:val="24"/>
              </w:rPr>
              <w:t>≤1.0</w:t>
            </w:r>
          </w:p>
        </w:tc>
      </w:tr>
      <w:tr w14:paraId="7E470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153" w:type="dxa"/>
            <w:tcBorders>
              <w:top w:val="single" w:color="auto" w:sz="4" w:space="0"/>
              <w:left w:val="single" w:color="auto" w:sz="4" w:space="0"/>
              <w:bottom w:val="single" w:color="auto" w:sz="4" w:space="0"/>
              <w:right w:val="single" w:color="auto" w:sz="4" w:space="0"/>
            </w:tcBorders>
          </w:tcPr>
          <w:p w14:paraId="46EAE570">
            <w:pPr>
              <w:adjustRightInd w:val="0"/>
              <w:spacing w:line="360" w:lineRule="atLeast"/>
              <w:jc w:val="center"/>
              <w:rPr>
                <w:rFonts w:ascii="宋体" w:hAnsi="宋体" w:eastAsia="宋体" w:cs="黑体"/>
                <w:b/>
                <w:bCs/>
                <w:kern w:val="0"/>
                <w:sz w:val="24"/>
              </w:rPr>
            </w:pPr>
            <w:r>
              <w:rPr>
                <w:rFonts w:hint="eastAsia" w:ascii="宋体" w:hAnsi="宋体" w:eastAsia="宋体" w:cs="Times New Roman"/>
                <w:color w:val="000000"/>
                <w:kern w:val="0"/>
                <w:sz w:val="24"/>
              </w:rPr>
              <w:t>Cu</w:t>
            </w:r>
            <w:r>
              <w:rPr>
                <w:rFonts w:hint="eastAsia" w:ascii="宋体" w:hAnsi="宋体" w:eastAsia="宋体" w:cs="Times New Roman"/>
                <w:color w:val="000000"/>
                <w:kern w:val="0"/>
                <w:sz w:val="24"/>
                <w:vertAlign w:val="superscript"/>
              </w:rPr>
              <w:t>2+</w:t>
            </w:r>
          </w:p>
        </w:tc>
        <w:tc>
          <w:tcPr>
            <w:tcW w:w="1250" w:type="dxa"/>
            <w:tcBorders>
              <w:top w:val="single" w:color="auto" w:sz="4" w:space="0"/>
              <w:left w:val="single" w:color="auto" w:sz="4" w:space="0"/>
              <w:bottom w:val="single" w:color="auto" w:sz="4" w:space="0"/>
              <w:right w:val="single" w:color="auto" w:sz="4" w:space="0"/>
            </w:tcBorders>
          </w:tcPr>
          <w:p w14:paraId="3C70C8D0">
            <w:pPr>
              <w:adjustRightInd w:val="0"/>
              <w:spacing w:line="360" w:lineRule="atLeast"/>
              <w:jc w:val="center"/>
              <w:rPr>
                <w:rFonts w:ascii="宋体" w:hAnsi="宋体" w:eastAsia="宋体" w:cs="黑体"/>
                <w:b/>
                <w:bCs/>
                <w:kern w:val="0"/>
                <w:sz w:val="24"/>
              </w:rPr>
            </w:pPr>
            <w:r>
              <w:rPr>
                <w:rFonts w:hint="eastAsia" w:ascii="宋体" w:hAnsi="宋体" w:eastAsia="宋体" w:cs="Times New Roman"/>
                <w:color w:val="000000"/>
                <w:kern w:val="0"/>
                <w:sz w:val="24"/>
              </w:rPr>
              <w:t>mg/L</w:t>
            </w:r>
          </w:p>
        </w:tc>
        <w:tc>
          <w:tcPr>
            <w:tcW w:w="3827" w:type="dxa"/>
            <w:tcBorders>
              <w:top w:val="single" w:color="auto" w:sz="4" w:space="0"/>
              <w:left w:val="single" w:color="auto" w:sz="4" w:space="0"/>
              <w:bottom w:val="single" w:color="auto" w:sz="4" w:space="0"/>
              <w:right w:val="single" w:color="auto" w:sz="4" w:space="0"/>
            </w:tcBorders>
          </w:tcPr>
          <w:p w14:paraId="4DD4A635">
            <w:pPr>
              <w:adjustRightInd w:val="0"/>
              <w:spacing w:line="360" w:lineRule="atLeast"/>
              <w:jc w:val="center"/>
              <w:rPr>
                <w:rFonts w:ascii="宋体" w:hAnsi="宋体" w:eastAsia="宋体" w:cs="黑体"/>
                <w:b/>
                <w:bCs/>
                <w:kern w:val="0"/>
                <w:sz w:val="24"/>
              </w:rPr>
            </w:pPr>
          </w:p>
        </w:tc>
        <w:tc>
          <w:tcPr>
            <w:tcW w:w="1690" w:type="dxa"/>
            <w:tcBorders>
              <w:top w:val="single" w:color="auto" w:sz="4" w:space="0"/>
              <w:left w:val="single" w:color="auto" w:sz="4" w:space="0"/>
              <w:bottom w:val="single" w:color="auto" w:sz="4" w:space="0"/>
              <w:right w:val="single" w:color="auto" w:sz="4" w:space="0"/>
            </w:tcBorders>
          </w:tcPr>
          <w:p w14:paraId="71F92681">
            <w:pPr>
              <w:adjustRightInd w:val="0"/>
              <w:spacing w:line="360" w:lineRule="atLeast"/>
              <w:jc w:val="center"/>
              <w:rPr>
                <w:rFonts w:ascii="宋体" w:hAnsi="宋体" w:eastAsia="宋体" w:cs="黑体"/>
                <w:b/>
                <w:bCs/>
                <w:kern w:val="0"/>
                <w:sz w:val="24"/>
              </w:rPr>
            </w:pPr>
            <w:r>
              <w:rPr>
                <w:rFonts w:hint="eastAsia" w:ascii="宋体" w:hAnsi="宋体" w:eastAsia="宋体" w:cs="Times New Roman"/>
                <w:color w:val="000000"/>
                <w:kern w:val="0"/>
                <w:sz w:val="24"/>
              </w:rPr>
              <w:t>≤0.1</w:t>
            </w:r>
          </w:p>
        </w:tc>
      </w:tr>
      <w:tr w14:paraId="7471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153" w:type="dxa"/>
            <w:tcBorders>
              <w:top w:val="single" w:color="auto" w:sz="4" w:space="0"/>
              <w:left w:val="single" w:color="auto" w:sz="4" w:space="0"/>
              <w:bottom w:val="single" w:color="auto" w:sz="4" w:space="0"/>
              <w:right w:val="single" w:color="auto" w:sz="4" w:space="0"/>
            </w:tcBorders>
          </w:tcPr>
          <w:p w14:paraId="0614033A">
            <w:pPr>
              <w:adjustRightInd w:val="0"/>
              <w:spacing w:line="360" w:lineRule="atLeast"/>
              <w:jc w:val="center"/>
              <w:rPr>
                <w:rFonts w:ascii="宋体" w:hAnsi="宋体" w:eastAsia="宋体" w:cs="黑体"/>
                <w:b/>
                <w:bCs/>
                <w:kern w:val="0"/>
                <w:sz w:val="24"/>
              </w:rPr>
            </w:pPr>
            <w:r>
              <w:rPr>
                <w:rFonts w:hint="eastAsia" w:ascii="宋体" w:hAnsi="宋体" w:eastAsia="宋体" w:cs="Times New Roman"/>
                <w:color w:val="000000"/>
                <w:kern w:val="0"/>
                <w:sz w:val="24"/>
              </w:rPr>
              <w:t>Cl</w:t>
            </w:r>
            <w:r>
              <w:rPr>
                <w:rFonts w:hint="eastAsia" w:ascii="宋体" w:hAnsi="宋体" w:eastAsia="宋体" w:cs="Times New Roman"/>
                <w:color w:val="000000"/>
                <w:kern w:val="0"/>
                <w:sz w:val="24"/>
                <w:vertAlign w:val="superscript"/>
              </w:rPr>
              <w:t>-</w:t>
            </w:r>
          </w:p>
        </w:tc>
        <w:tc>
          <w:tcPr>
            <w:tcW w:w="1250" w:type="dxa"/>
            <w:tcBorders>
              <w:top w:val="single" w:color="auto" w:sz="4" w:space="0"/>
              <w:left w:val="single" w:color="auto" w:sz="4" w:space="0"/>
              <w:bottom w:val="single" w:color="auto" w:sz="4" w:space="0"/>
              <w:right w:val="single" w:color="auto" w:sz="4" w:space="0"/>
            </w:tcBorders>
          </w:tcPr>
          <w:p w14:paraId="48CC6D4F">
            <w:pPr>
              <w:adjustRightInd w:val="0"/>
              <w:spacing w:line="360" w:lineRule="atLeast"/>
              <w:jc w:val="center"/>
              <w:rPr>
                <w:rFonts w:ascii="宋体" w:hAnsi="宋体" w:eastAsia="宋体" w:cs="黑体"/>
                <w:b/>
                <w:bCs/>
                <w:kern w:val="0"/>
                <w:sz w:val="24"/>
              </w:rPr>
            </w:pPr>
            <w:r>
              <w:rPr>
                <w:rFonts w:hint="eastAsia" w:ascii="宋体" w:hAnsi="宋体" w:eastAsia="宋体" w:cs="Times New Roman"/>
                <w:color w:val="000000"/>
                <w:kern w:val="0"/>
                <w:sz w:val="24"/>
              </w:rPr>
              <w:t>mg/L</w:t>
            </w:r>
          </w:p>
        </w:tc>
        <w:tc>
          <w:tcPr>
            <w:tcW w:w="3827" w:type="dxa"/>
            <w:tcBorders>
              <w:top w:val="single" w:color="auto" w:sz="4" w:space="0"/>
              <w:left w:val="single" w:color="auto" w:sz="4" w:space="0"/>
              <w:bottom w:val="single" w:color="auto" w:sz="4" w:space="0"/>
              <w:right w:val="single" w:color="auto" w:sz="4" w:space="0"/>
            </w:tcBorders>
          </w:tcPr>
          <w:p w14:paraId="658A541A">
            <w:pPr>
              <w:adjustRightInd w:val="0"/>
              <w:spacing w:line="360" w:lineRule="atLeast"/>
              <w:jc w:val="center"/>
              <w:rPr>
                <w:rFonts w:ascii="宋体" w:hAnsi="宋体" w:eastAsia="宋体" w:cs="黑体"/>
                <w:b/>
                <w:bCs/>
                <w:kern w:val="0"/>
                <w:sz w:val="24"/>
              </w:rPr>
            </w:pPr>
            <w:r>
              <w:rPr>
                <w:rFonts w:hint="eastAsia" w:ascii="宋体" w:hAnsi="宋体" w:eastAsia="宋体" w:cs="Times New Roman"/>
                <w:color w:val="000000"/>
                <w:kern w:val="0"/>
                <w:sz w:val="24"/>
              </w:rPr>
              <w:t>碳钢、不锈刚换热设备、水走管程</w:t>
            </w:r>
          </w:p>
        </w:tc>
        <w:tc>
          <w:tcPr>
            <w:tcW w:w="1690" w:type="dxa"/>
            <w:tcBorders>
              <w:top w:val="single" w:color="auto" w:sz="4" w:space="0"/>
              <w:left w:val="single" w:color="auto" w:sz="4" w:space="0"/>
              <w:bottom w:val="single" w:color="auto" w:sz="4" w:space="0"/>
              <w:right w:val="single" w:color="auto" w:sz="4" w:space="0"/>
            </w:tcBorders>
          </w:tcPr>
          <w:p w14:paraId="06C95293">
            <w:pPr>
              <w:adjustRightInd w:val="0"/>
              <w:spacing w:line="360" w:lineRule="atLeast"/>
              <w:jc w:val="center"/>
              <w:rPr>
                <w:rFonts w:ascii="宋体" w:hAnsi="宋体" w:eastAsia="宋体" w:cs="黑体"/>
                <w:b/>
                <w:bCs/>
                <w:kern w:val="0"/>
                <w:sz w:val="24"/>
              </w:rPr>
            </w:pPr>
            <w:r>
              <w:rPr>
                <w:rFonts w:hint="eastAsia" w:ascii="宋体" w:hAnsi="宋体" w:eastAsia="宋体" w:cs="Times New Roman"/>
                <w:color w:val="000000"/>
                <w:kern w:val="0"/>
                <w:sz w:val="24"/>
              </w:rPr>
              <w:t>≤</w:t>
            </w:r>
            <w:r>
              <w:rPr>
                <w:rFonts w:hint="eastAsia" w:ascii="宋体" w:hAnsi="宋体" w:eastAsia="宋体" w:cs="Times New Roman"/>
                <w:color w:val="000000"/>
                <w:kern w:val="0"/>
                <w:sz w:val="24"/>
                <w:lang w:val="en-US" w:eastAsia="zh-CN"/>
              </w:rPr>
              <w:t>7</w:t>
            </w:r>
            <w:r>
              <w:rPr>
                <w:rFonts w:hint="eastAsia" w:ascii="宋体" w:hAnsi="宋体" w:eastAsia="宋体" w:cs="Times New Roman"/>
                <w:color w:val="000000"/>
                <w:kern w:val="0"/>
                <w:sz w:val="24"/>
              </w:rPr>
              <w:t>00</w:t>
            </w:r>
          </w:p>
        </w:tc>
      </w:tr>
      <w:tr w14:paraId="14E85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153" w:type="dxa"/>
            <w:tcBorders>
              <w:top w:val="single" w:color="auto" w:sz="4" w:space="0"/>
              <w:left w:val="single" w:color="auto" w:sz="4" w:space="0"/>
              <w:bottom w:val="single" w:color="auto" w:sz="4" w:space="0"/>
              <w:right w:val="single" w:color="auto" w:sz="4" w:space="0"/>
            </w:tcBorders>
          </w:tcPr>
          <w:p w14:paraId="411AA7E3">
            <w:pPr>
              <w:adjustRightInd w:val="0"/>
              <w:spacing w:line="480" w:lineRule="auto"/>
              <w:jc w:val="center"/>
              <w:rPr>
                <w:rFonts w:ascii="宋体" w:hAnsi="宋体" w:eastAsia="宋体" w:cs="Times New Roman"/>
                <w:color w:val="000000"/>
                <w:kern w:val="0"/>
                <w:sz w:val="24"/>
              </w:rPr>
            </w:pPr>
            <w:r>
              <w:rPr>
                <w:rFonts w:hint="eastAsia" w:ascii="宋体" w:hAnsi="宋体" w:eastAsia="宋体" w:cs="Times New Roman"/>
                <w:color w:val="000000"/>
                <w:kern w:val="0"/>
                <w:sz w:val="24"/>
              </w:rPr>
              <w:t>电导率</w:t>
            </w:r>
          </w:p>
        </w:tc>
        <w:tc>
          <w:tcPr>
            <w:tcW w:w="1250" w:type="dxa"/>
            <w:tcBorders>
              <w:top w:val="single" w:color="auto" w:sz="4" w:space="0"/>
              <w:left w:val="single" w:color="auto" w:sz="4" w:space="0"/>
              <w:bottom w:val="single" w:color="auto" w:sz="4" w:space="0"/>
              <w:right w:val="single" w:color="auto" w:sz="4" w:space="0"/>
            </w:tcBorders>
          </w:tcPr>
          <w:p w14:paraId="36A77D77">
            <w:pPr>
              <w:adjustRightInd w:val="0"/>
              <w:spacing w:line="480" w:lineRule="auto"/>
              <w:jc w:val="center"/>
              <w:rPr>
                <w:rFonts w:ascii="宋体" w:hAnsi="宋体" w:eastAsia="宋体" w:cs="Times New Roman"/>
                <w:color w:val="000000"/>
                <w:kern w:val="0"/>
                <w:sz w:val="24"/>
              </w:rPr>
            </w:pPr>
            <w:r>
              <w:rPr>
                <w:rFonts w:hint="eastAsia" w:ascii="宋体" w:hAnsi="宋体" w:eastAsia="宋体" w:cs="Times New Roman"/>
                <w:color w:val="000000"/>
                <w:kern w:val="0"/>
                <w:sz w:val="24"/>
              </w:rPr>
              <w:t>μ</w:t>
            </w:r>
            <w:r>
              <w:rPr>
                <w:rFonts w:ascii="宋体" w:hAnsi="宋体" w:eastAsia="宋体" w:cs="Times New Roman"/>
                <w:color w:val="000000"/>
                <w:kern w:val="0"/>
                <w:sz w:val="24"/>
              </w:rPr>
              <w:t>s/cm</w:t>
            </w:r>
          </w:p>
        </w:tc>
        <w:tc>
          <w:tcPr>
            <w:tcW w:w="3827" w:type="dxa"/>
            <w:tcBorders>
              <w:top w:val="single" w:color="auto" w:sz="4" w:space="0"/>
              <w:left w:val="single" w:color="auto" w:sz="4" w:space="0"/>
              <w:bottom w:val="single" w:color="auto" w:sz="4" w:space="0"/>
              <w:right w:val="single" w:color="auto" w:sz="4" w:space="0"/>
            </w:tcBorders>
          </w:tcPr>
          <w:p w14:paraId="52851B71">
            <w:pPr>
              <w:adjustRightInd w:val="0"/>
              <w:spacing w:line="360" w:lineRule="atLeast"/>
              <w:jc w:val="center"/>
              <w:rPr>
                <w:rFonts w:ascii="宋体" w:hAnsi="宋体" w:eastAsia="宋体" w:cs="Times New Roman"/>
                <w:color w:val="000000"/>
                <w:kern w:val="0"/>
                <w:sz w:val="24"/>
              </w:rPr>
            </w:pPr>
            <w:r>
              <w:rPr>
                <w:rFonts w:hint="eastAsia" w:ascii="宋体" w:hAnsi="宋体" w:eastAsia="宋体" w:cs="Times New Roman"/>
                <w:color w:val="000000"/>
                <w:kern w:val="0"/>
                <w:sz w:val="24"/>
              </w:rPr>
              <w:t>地区水质不同，一般自来水的电导率介于125-1250μs/cm之间</w:t>
            </w:r>
          </w:p>
        </w:tc>
        <w:tc>
          <w:tcPr>
            <w:tcW w:w="1690" w:type="dxa"/>
            <w:tcBorders>
              <w:top w:val="single" w:color="auto" w:sz="4" w:space="0"/>
              <w:left w:val="single" w:color="auto" w:sz="4" w:space="0"/>
              <w:bottom w:val="single" w:color="auto" w:sz="4" w:space="0"/>
              <w:right w:val="single" w:color="auto" w:sz="4" w:space="0"/>
            </w:tcBorders>
          </w:tcPr>
          <w:p w14:paraId="577A9664">
            <w:pPr>
              <w:adjustRightInd w:val="0"/>
              <w:spacing w:line="480" w:lineRule="auto"/>
              <w:jc w:val="center"/>
              <w:rPr>
                <w:rFonts w:ascii="宋体" w:hAnsi="宋体" w:eastAsia="宋体" w:cs="Times New Roman"/>
                <w:color w:val="000000"/>
                <w:kern w:val="0"/>
                <w:sz w:val="24"/>
              </w:rPr>
            </w:pPr>
            <w:r>
              <w:rPr>
                <w:rFonts w:hint="eastAsia" w:ascii="宋体" w:hAnsi="宋体" w:eastAsia="宋体" w:cs="Times New Roman"/>
                <w:color w:val="000000"/>
                <w:kern w:val="0"/>
                <w:sz w:val="24"/>
              </w:rPr>
              <w:t>≤2000</w:t>
            </w:r>
          </w:p>
        </w:tc>
      </w:tr>
      <w:tr w14:paraId="4E0CF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53" w:type="dxa"/>
            <w:tcBorders>
              <w:top w:val="single" w:color="auto" w:sz="4" w:space="0"/>
              <w:left w:val="single" w:color="auto" w:sz="4" w:space="0"/>
              <w:bottom w:val="single" w:color="auto" w:sz="4" w:space="0"/>
              <w:right w:val="single" w:color="auto" w:sz="4" w:space="0"/>
            </w:tcBorders>
          </w:tcPr>
          <w:p w14:paraId="30D4DD14">
            <w:pPr>
              <w:adjustRightInd w:val="0"/>
              <w:spacing w:line="360" w:lineRule="atLeast"/>
              <w:jc w:val="center"/>
              <w:rPr>
                <w:rFonts w:ascii="宋体" w:hAnsi="宋体" w:eastAsia="宋体" w:cs="黑体"/>
                <w:b/>
                <w:bCs/>
                <w:kern w:val="0"/>
                <w:sz w:val="24"/>
              </w:rPr>
            </w:pPr>
            <w:r>
              <w:rPr>
                <w:rFonts w:hint="eastAsia" w:ascii="宋体" w:hAnsi="宋体" w:eastAsia="宋体" w:cs="Times New Roman"/>
                <w:color w:val="000000"/>
                <w:kern w:val="0"/>
                <w:sz w:val="24"/>
              </w:rPr>
              <w:t>异养菌总数</w:t>
            </w:r>
          </w:p>
        </w:tc>
        <w:tc>
          <w:tcPr>
            <w:tcW w:w="1250" w:type="dxa"/>
            <w:tcBorders>
              <w:top w:val="single" w:color="auto" w:sz="4" w:space="0"/>
              <w:left w:val="single" w:color="auto" w:sz="4" w:space="0"/>
              <w:bottom w:val="single" w:color="auto" w:sz="4" w:space="0"/>
              <w:right w:val="single" w:color="auto" w:sz="4" w:space="0"/>
            </w:tcBorders>
          </w:tcPr>
          <w:p w14:paraId="71320EFF">
            <w:pPr>
              <w:adjustRightInd w:val="0"/>
              <w:spacing w:line="360" w:lineRule="atLeast"/>
              <w:jc w:val="center"/>
              <w:rPr>
                <w:rFonts w:ascii="宋体" w:hAnsi="宋体" w:eastAsia="宋体" w:cs="黑体"/>
                <w:b/>
                <w:bCs/>
                <w:kern w:val="0"/>
                <w:sz w:val="24"/>
              </w:rPr>
            </w:pPr>
            <w:r>
              <w:rPr>
                <w:rFonts w:hint="eastAsia" w:ascii="宋体" w:hAnsi="宋体" w:eastAsia="宋体" w:cs="Times New Roman"/>
                <w:color w:val="000000"/>
                <w:kern w:val="0"/>
                <w:sz w:val="24"/>
              </w:rPr>
              <w:t>个/ml</w:t>
            </w:r>
          </w:p>
        </w:tc>
        <w:tc>
          <w:tcPr>
            <w:tcW w:w="3827" w:type="dxa"/>
            <w:tcBorders>
              <w:top w:val="single" w:color="auto" w:sz="4" w:space="0"/>
              <w:left w:val="single" w:color="auto" w:sz="4" w:space="0"/>
              <w:bottom w:val="single" w:color="auto" w:sz="4" w:space="0"/>
              <w:right w:val="single" w:color="auto" w:sz="4" w:space="0"/>
            </w:tcBorders>
          </w:tcPr>
          <w:p w14:paraId="28763876">
            <w:pPr>
              <w:adjustRightInd w:val="0"/>
              <w:spacing w:line="360" w:lineRule="atLeast"/>
              <w:jc w:val="center"/>
              <w:rPr>
                <w:rFonts w:ascii="宋体" w:hAnsi="宋体" w:eastAsia="宋体" w:cs="黑体"/>
                <w:b/>
                <w:bCs/>
                <w:kern w:val="0"/>
                <w:sz w:val="24"/>
              </w:rPr>
            </w:pPr>
            <w:r>
              <w:rPr>
                <w:rFonts w:hint="eastAsia" w:ascii="宋体" w:hAnsi="宋体" w:eastAsia="宋体" w:cs="Times New Roman"/>
                <w:color w:val="000000"/>
                <w:kern w:val="0"/>
                <w:sz w:val="24"/>
              </w:rPr>
              <w:t>-</w:t>
            </w:r>
          </w:p>
        </w:tc>
        <w:tc>
          <w:tcPr>
            <w:tcW w:w="1690" w:type="dxa"/>
            <w:tcBorders>
              <w:top w:val="single" w:color="auto" w:sz="4" w:space="0"/>
              <w:left w:val="single" w:color="auto" w:sz="4" w:space="0"/>
              <w:bottom w:val="single" w:color="auto" w:sz="4" w:space="0"/>
              <w:right w:val="single" w:color="auto" w:sz="4" w:space="0"/>
            </w:tcBorders>
          </w:tcPr>
          <w:p w14:paraId="5A60C907">
            <w:pPr>
              <w:adjustRightInd w:val="0"/>
              <w:spacing w:line="360" w:lineRule="atLeast"/>
              <w:jc w:val="center"/>
              <w:rPr>
                <w:rFonts w:ascii="宋体" w:hAnsi="宋体" w:eastAsia="宋体" w:cs="黑体"/>
                <w:b/>
                <w:bCs/>
                <w:kern w:val="0"/>
                <w:sz w:val="24"/>
              </w:rPr>
            </w:pPr>
            <w:r>
              <w:rPr>
                <w:rFonts w:hint="eastAsia" w:ascii="宋体" w:hAnsi="宋体" w:eastAsia="宋体" w:cs="Times New Roman"/>
                <w:color w:val="000000"/>
                <w:kern w:val="0"/>
                <w:sz w:val="24"/>
              </w:rPr>
              <w:t>1×10</w:t>
            </w:r>
            <w:r>
              <w:rPr>
                <w:rFonts w:hint="eastAsia" w:ascii="宋体" w:hAnsi="宋体" w:eastAsia="宋体" w:cs="Times New Roman"/>
                <w:color w:val="000000"/>
                <w:kern w:val="0"/>
                <w:sz w:val="24"/>
                <w:vertAlign w:val="superscript"/>
              </w:rPr>
              <w:t>5</w:t>
            </w:r>
          </w:p>
        </w:tc>
      </w:tr>
    </w:tbl>
    <w:p w14:paraId="62EAE689">
      <w:pPr>
        <w:adjustRightInd w:val="0"/>
        <w:spacing w:line="360" w:lineRule="auto"/>
        <w:jc w:val="left"/>
        <w:rPr>
          <w:rFonts w:ascii="宋体" w:hAnsi="宋体" w:eastAsia="宋体" w:cs="仿宋"/>
          <w:b/>
          <w:kern w:val="0"/>
          <w:sz w:val="24"/>
        </w:rPr>
      </w:pPr>
    </w:p>
    <w:p w14:paraId="689B070F">
      <w:pPr>
        <w:widowControl/>
        <w:shd w:val="clear" w:color="auto" w:fill="FFFFFF"/>
        <w:wordWrap w:val="0"/>
        <w:adjustRightInd w:val="0"/>
        <w:spacing w:line="360" w:lineRule="auto"/>
        <w:jc w:val="left"/>
        <w:rPr>
          <w:rFonts w:ascii="宋体" w:hAnsi="宋体" w:eastAsia="宋体" w:cs="宋体"/>
          <w:kern w:val="0"/>
          <w:sz w:val="24"/>
        </w:rPr>
      </w:pPr>
      <w:r>
        <w:rPr>
          <w:rFonts w:hint="eastAsia" w:ascii="宋体" w:hAnsi="宋体" w:eastAsia="宋体" w:cs="宋体"/>
          <w:kern w:val="0"/>
          <w:sz w:val="24"/>
        </w:rPr>
        <w:t>3、安全服务要求</w:t>
      </w:r>
    </w:p>
    <w:p w14:paraId="1E6ABCDE">
      <w:pPr>
        <w:widowControl/>
        <w:shd w:val="clear" w:color="auto" w:fill="FFFFFF"/>
        <w:wordWrap w:val="0"/>
        <w:adjustRightInd w:val="0"/>
        <w:spacing w:line="360" w:lineRule="auto"/>
        <w:ind w:firstLine="480"/>
        <w:jc w:val="left"/>
        <w:rPr>
          <w:rFonts w:ascii="宋体" w:hAnsi="宋体" w:eastAsia="宋体" w:cs="宋体"/>
          <w:kern w:val="0"/>
          <w:sz w:val="24"/>
        </w:rPr>
      </w:pPr>
      <w:r>
        <w:rPr>
          <w:rFonts w:hint="eastAsia" w:ascii="宋体" w:hAnsi="宋体" w:eastAsia="宋体" w:cs="宋体"/>
          <w:kern w:val="0"/>
          <w:sz w:val="24"/>
        </w:rPr>
        <w:t>3.1维护人员应具备的常识和专业知识，采取必要措施，保证文明和安全施工、检修。</w:t>
      </w:r>
    </w:p>
    <w:p w14:paraId="7FDC5222">
      <w:pPr>
        <w:widowControl/>
        <w:shd w:val="clear" w:color="auto" w:fill="FFFFFF"/>
        <w:wordWrap w:val="0"/>
        <w:adjustRightInd w:val="0"/>
        <w:spacing w:line="360" w:lineRule="auto"/>
        <w:ind w:right="-57" w:rightChars="-27" w:firstLine="480"/>
        <w:jc w:val="left"/>
        <w:rPr>
          <w:rFonts w:ascii="宋体" w:hAnsi="宋体" w:eastAsia="宋体" w:cs="宋体"/>
          <w:kern w:val="0"/>
          <w:sz w:val="24"/>
        </w:rPr>
      </w:pPr>
      <w:r>
        <w:rPr>
          <w:rFonts w:hint="eastAsia" w:ascii="宋体" w:hAnsi="宋体" w:eastAsia="宋体" w:cs="宋体"/>
          <w:kern w:val="0"/>
          <w:sz w:val="24"/>
        </w:rPr>
        <w:t>3.2维保期间不得影响甲方正常的运营，如有个别有可能影响的服务内容，须事前通知，并经甲方同意后方可实施。</w:t>
      </w:r>
    </w:p>
    <w:p w14:paraId="4247D91D">
      <w:pPr>
        <w:widowControl/>
        <w:shd w:val="clear" w:color="auto" w:fill="FFFFFF"/>
        <w:wordWrap w:val="0"/>
        <w:adjustRightInd w:val="0"/>
        <w:spacing w:line="360" w:lineRule="auto"/>
        <w:ind w:firstLine="480"/>
        <w:jc w:val="left"/>
        <w:rPr>
          <w:rFonts w:ascii="宋体" w:hAnsi="宋体" w:eastAsia="宋体" w:cs="宋体"/>
          <w:kern w:val="0"/>
          <w:sz w:val="24"/>
        </w:rPr>
      </w:pPr>
      <w:r>
        <w:rPr>
          <w:rFonts w:hint="eastAsia" w:ascii="宋体" w:hAnsi="宋体" w:eastAsia="宋体" w:cs="宋体"/>
          <w:kern w:val="0"/>
          <w:sz w:val="24"/>
        </w:rPr>
        <w:t>3.3乙方必须服从甲方提出的文明服务的要求，维保范围和维保人员活动范围，不得超出甲方指定的区域。</w:t>
      </w:r>
    </w:p>
    <w:p w14:paraId="596103A0">
      <w:pPr>
        <w:widowControl/>
        <w:shd w:val="clear" w:color="auto" w:fill="FFFFFF"/>
        <w:wordWrap w:val="0"/>
        <w:adjustRightInd w:val="0"/>
        <w:spacing w:line="360" w:lineRule="auto"/>
        <w:ind w:firstLine="480"/>
        <w:jc w:val="left"/>
        <w:rPr>
          <w:rFonts w:ascii="宋体" w:hAnsi="宋体" w:eastAsia="宋体" w:cs="宋体"/>
          <w:kern w:val="0"/>
          <w:sz w:val="24"/>
        </w:rPr>
      </w:pPr>
      <w:r>
        <w:rPr>
          <w:rFonts w:hint="eastAsia" w:ascii="宋体" w:hAnsi="宋体" w:eastAsia="宋体" w:cs="宋体"/>
          <w:kern w:val="0"/>
          <w:sz w:val="24"/>
        </w:rPr>
        <w:t>3.4维保期间产生的任何垃圾、废料由乙方负责清理至甲方指定的区域，乙方的设备工具自行负责整理。</w:t>
      </w:r>
    </w:p>
    <w:p w14:paraId="79D50603">
      <w:pPr>
        <w:widowControl/>
        <w:shd w:val="clear" w:color="auto" w:fill="FFFFFF"/>
        <w:wordWrap w:val="0"/>
        <w:adjustRightInd w:val="0"/>
        <w:spacing w:line="360" w:lineRule="auto"/>
        <w:ind w:firstLine="480"/>
        <w:jc w:val="left"/>
        <w:rPr>
          <w:rFonts w:ascii="宋体" w:hAnsi="宋体" w:eastAsia="宋体" w:cs="宋体"/>
          <w:kern w:val="0"/>
          <w:sz w:val="24"/>
        </w:rPr>
      </w:pPr>
      <w:r>
        <w:rPr>
          <w:rFonts w:hint="eastAsia" w:ascii="宋体" w:hAnsi="宋体" w:eastAsia="宋体" w:cs="宋体"/>
          <w:kern w:val="0"/>
          <w:sz w:val="24"/>
        </w:rPr>
        <w:t>3.5维保期间如遇高空作业，乙方须做好相应防护措施，乙方对自身维保人员的安全负责，甲方免责。</w:t>
      </w:r>
    </w:p>
    <w:p w14:paraId="7C5488B6">
      <w:pPr>
        <w:adjustRightInd w:val="0"/>
        <w:spacing w:before="100" w:beforeAutospacing="1" w:line="360" w:lineRule="auto"/>
        <w:jc w:val="left"/>
        <w:rPr>
          <w:rFonts w:ascii="宋体" w:hAnsi="宋体" w:eastAsia="宋体" w:cs="Times New Roman"/>
          <w:b/>
          <w:kern w:val="0"/>
          <w:sz w:val="24"/>
        </w:rPr>
      </w:pPr>
      <w:r>
        <w:rPr>
          <w:rFonts w:hint="eastAsia" w:ascii="宋体" w:hAnsi="宋体" w:eastAsia="宋体" w:cs="Times New Roman"/>
          <w:b/>
          <w:kern w:val="0"/>
          <w:sz w:val="24"/>
        </w:rPr>
        <w:t>三、违约界定和处理</w:t>
      </w:r>
    </w:p>
    <w:p w14:paraId="520DB669">
      <w:pPr>
        <w:adjustRightInd w:val="0"/>
        <w:spacing w:line="360" w:lineRule="auto"/>
        <w:ind w:firstLine="480" w:firstLineChars="200"/>
        <w:jc w:val="left"/>
        <w:rPr>
          <w:rFonts w:ascii="宋体" w:hAnsi="宋体" w:eastAsia="宋体" w:cs="仿宋"/>
          <w:kern w:val="0"/>
          <w:sz w:val="24"/>
        </w:rPr>
      </w:pPr>
      <w:r>
        <w:rPr>
          <w:rFonts w:hint="eastAsia" w:ascii="宋体" w:hAnsi="宋体" w:eastAsia="宋体" w:cs="仿宋"/>
          <w:kern w:val="0"/>
          <w:sz w:val="24"/>
        </w:rPr>
        <w:t>中标人如有下列情形之一的，将视为违约：</w:t>
      </w:r>
    </w:p>
    <w:p w14:paraId="731BC391">
      <w:pPr>
        <w:adjustRightInd w:val="0"/>
        <w:spacing w:line="360" w:lineRule="auto"/>
        <w:ind w:firstLine="480" w:firstLineChars="200"/>
        <w:jc w:val="left"/>
        <w:rPr>
          <w:rFonts w:ascii="宋体" w:hAnsi="宋体" w:eastAsia="宋体" w:cs="仿宋"/>
          <w:kern w:val="0"/>
          <w:sz w:val="24"/>
        </w:rPr>
      </w:pPr>
      <w:r>
        <w:rPr>
          <w:rFonts w:hint="eastAsia" w:ascii="宋体" w:hAnsi="宋体" w:eastAsia="宋体" w:cs="仿宋"/>
          <w:kern w:val="0"/>
          <w:sz w:val="24"/>
        </w:rPr>
        <w:t>（1）未按规定的时间完成要求的服务内容；</w:t>
      </w:r>
    </w:p>
    <w:p w14:paraId="0B2A8153">
      <w:pPr>
        <w:adjustRightInd w:val="0"/>
        <w:spacing w:line="360" w:lineRule="auto"/>
        <w:ind w:right="-57" w:rightChars="-27" w:firstLine="480" w:firstLineChars="200"/>
        <w:jc w:val="left"/>
        <w:rPr>
          <w:rFonts w:ascii="宋体" w:hAnsi="宋体" w:eastAsia="宋体" w:cs="仿宋"/>
          <w:kern w:val="0"/>
          <w:sz w:val="24"/>
        </w:rPr>
      </w:pPr>
      <w:r>
        <w:rPr>
          <w:rFonts w:hint="eastAsia" w:ascii="宋体" w:hAnsi="宋体" w:eastAsia="宋体" w:cs="仿宋"/>
          <w:kern w:val="0"/>
          <w:sz w:val="24"/>
        </w:rPr>
        <w:t>（2）提供的空调循环水处理服务（包括所需专业人员）与所要求的不一致；</w:t>
      </w:r>
    </w:p>
    <w:p w14:paraId="78AFF323">
      <w:pPr>
        <w:adjustRightInd w:val="0"/>
        <w:spacing w:line="360" w:lineRule="auto"/>
        <w:ind w:firstLine="480" w:firstLineChars="200"/>
        <w:jc w:val="left"/>
        <w:rPr>
          <w:rFonts w:ascii="宋体" w:hAnsi="宋体" w:eastAsia="宋体" w:cs="仿宋"/>
          <w:kern w:val="0"/>
          <w:sz w:val="24"/>
        </w:rPr>
      </w:pPr>
      <w:r>
        <w:rPr>
          <w:rFonts w:hint="eastAsia" w:ascii="宋体" w:hAnsi="宋体" w:eastAsia="宋体" w:cs="仿宋"/>
          <w:kern w:val="0"/>
          <w:sz w:val="24"/>
        </w:rPr>
        <w:t>（3）提供的设备，化学药剂，材料有质量和性能有问题，按规定属不合格产品；</w:t>
      </w:r>
    </w:p>
    <w:p w14:paraId="110F8971">
      <w:pPr>
        <w:adjustRightInd w:val="0"/>
        <w:spacing w:line="360" w:lineRule="auto"/>
        <w:ind w:firstLine="480" w:firstLineChars="200"/>
        <w:jc w:val="left"/>
        <w:rPr>
          <w:rFonts w:ascii="宋体" w:hAnsi="宋体" w:eastAsia="宋体" w:cs="仿宋"/>
          <w:kern w:val="0"/>
          <w:sz w:val="24"/>
        </w:rPr>
      </w:pPr>
      <w:r>
        <w:rPr>
          <w:rFonts w:hint="eastAsia" w:ascii="宋体" w:hAnsi="宋体" w:eastAsia="宋体" w:cs="仿宋"/>
          <w:kern w:val="0"/>
          <w:sz w:val="24"/>
        </w:rPr>
        <w:t>（4）没有服务能力（或没有组织协调能力）更新设备，药剂或服务工作采取转包的；</w:t>
      </w:r>
    </w:p>
    <w:p w14:paraId="1C18741E">
      <w:pPr>
        <w:adjustRightInd w:val="0"/>
        <w:spacing w:line="360" w:lineRule="auto"/>
        <w:ind w:firstLine="480" w:firstLineChars="200"/>
        <w:jc w:val="left"/>
        <w:rPr>
          <w:rFonts w:ascii="宋体" w:hAnsi="宋体" w:eastAsia="宋体" w:cs="仿宋"/>
          <w:kern w:val="0"/>
          <w:sz w:val="24"/>
        </w:rPr>
      </w:pPr>
      <w:r>
        <w:rPr>
          <w:rFonts w:hint="eastAsia" w:ascii="宋体" w:hAnsi="宋体" w:eastAsia="宋体" w:cs="仿宋"/>
          <w:kern w:val="0"/>
          <w:sz w:val="24"/>
        </w:rPr>
        <w:t>处理约定：中标人出现上述任一违约行为一次将由采购人依据情况轻重扣罚1%至5%的维保费用。</w:t>
      </w:r>
    </w:p>
    <w:p w14:paraId="712B61FC">
      <w:pPr>
        <w:adjustRightInd w:val="0"/>
        <w:spacing w:before="100" w:beforeAutospacing="1" w:line="360" w:lineRule="auto"/>
        <w:jc w:val="left"/>
        <w:rPr>
          <w:rFonts w:ascii="宋体" w:hAnsi="宋体" w:eastAsia="宋体" w:cs="Times New Roman"/>
          <w:b/>
          <w:kern w:val="0"/>
          <w:sz w:val="24"/>
        </w:rPr>
      </w:pPr>
      <w:r>
        <w:rPr>
          <w:rFonts w:hint="eastAsia" w:ascii="宋体" w:hAnsi="宋体" w:eastAsia="宋体" w:cs="Times New Roman"/>
          <w:b/>
          <w:kern w:val="0"/>
          <w:sz w:val="24"/>
        </w:rPr>
        <w:t>四、其他说明</w:t>
      </w:r>
    </w:p>
    <w:p w14:paraId="285AFE81">
      <w:pPr>
        <w:adjustRightInd w:val="0"/>
        <w:spacing w:line="360" w:lineRule="auto"/>
        <w:ind w:firstLine="480" w:firstLineChars="200"/>
        <w:jc w:val="left"/>
        <w:rPr>
          <w:rFonts w:ascii="宋体" w:hAnsi="宋体" w:eastAsia="宋体" w:cs="仿宋"/>
          <w:kern w:val="0"/>
          <w:sz w:val="24"/>
        </w:rPr>
      </w:pPr>
      <w:r>
        <w:rPr>
          <w:rFonts w:hint="eastAsia" w:ascii="宋体" w:hAnsi="宋体" w:eastAsia="宋体" w:cs="仿宋"/>
          <w:kern w:val="0"/>
          <w:sz w:val="24"/>
        </w:rPr>
        <w:t>1、维保公司必须严格执行本地政府规定的最低用工工资标准、社保基数和住房公积金的有关规定，并承担其雇员的劳动报酬、福利待遇、按劳动法交纳社会保险、劳动保护、工伤抚恤等用人费用，承担未正确执行劳动用工规定所产生的法律责任。维护和保障员工的合法权益。中标单位应根据国家政策调整规律进行报价，原则上合同履行期间不予增加费用；</w:t>
      </w:r>
    </w:p>
    <w:p w14:paraId="45E25B60">
      <w:pPr>
        <w:widowControl/>
        <w:shd w:val="clear" w:color="auto" w:fill="FFFFFF"/>
        <w:wordWrap w:val="0"/>
        <w:adjustRightInd w:val="0"/>
        <w:spacing w:line="360" w:lineRule="auto"/>
        <w:ind w:firstLine="480"/>
        <w:jc w:val="left"/>
        <w:rPr>
          <w:rFonts w:ascii="宋体" w:hAnsi="宋体" w:eastAsia="宋体" w:cs="宋体"/>
          <w:kern w:val="0"/>
          <w:sz w:val="24"/>
        </w:rPr>
      </w:pPr>
      <w:r>
        <w:rPr>
          <w:rFonts w:hint="eastAsia" w:ascii="宋体" w:hAnsi="宋体" w:eastAsia="宋体" w:cs="宋体"/>
          <w:kern w:val="0"/>
          <w:sz w:val="24"/>
        </w:rPr>
        <w:t>2、维保费用支付方式：由采购人按月凭乙方提供的正式发票支付；</w:t>
      </w:r>
    </w:p>
    <w:p w14:paraId="17D85AC7">
      <w:pPr>
        <w:adjustRightInd w:val="0"/>
        <w:spacing w:line="360" w:lineRule="auto"/>
        <w:ind w:firstLine="480" w:firstLineChars="200"/>
        <w:jc w:val="left"/>
        <w:rPr>
          <w:rFonts w:ascii="宋体" w:hAnsi="宋体" w:eastAsia="宋体" w:cs="仿宋"/>
          <w:kern w:val="0"/>
          <w:sz w:val="24"/>
        </w:rPr>
      </w:pPr>
      <w:r>
        <w:rPr>
          <w:rFonts w:hint="eastAsia" w:ascii="宋体" w:hAnsi="宋体" w:eastAsia="宋体" w:cs="仿宋"/>
          <w:kern w:val="0"/>
          <w:sz w:val="24"/>
        </w:rPr>
        <w:t>3、</w:t>
      </w:r>
      <w:r>
        <w:rPr>
          <w:rFonts w:hint="eastAsia" w:ascii="宋体" w:hAnsi="宋体" w:eastAsia="宋体" w:cs="Times New Roman"/>
          <w:kern w:val="0"/>
          <w:sz w:val="24"/>
        </w:rPr>
        <w:t>中标人必须在合同生效后一周内接管所有工作，逾期产生的一切后果由中标人承担；</w:t>
      </w:r>
    </w:p>
    <w:p w14:paraId="621F4328">
      <w:pPr>
        <w:adjustRightInd w:val="0"/>
        <w:spacing w:before="50" w:line="360" w:lineRule="auto"/>
        <w:ind w:firstLine="480" w:firstLineChars="200"/>
        <w:jc w:val="left"/>
        <w:rPr>
          <w:rFonts w:ascii="宋体" w:hAnsi="宋体" w:eastAsia="宋体" w:cs="Times New Roman"/>
          <w:kern w:val="0"/>
          <w:sz w:val="24"/>
        </w:rPr>
      </w:pPr>
      <w:r>
        <w:rPr>
          <w:rFonts w:hint="eastAsia" w:ascii="宋体" w:hAnsi="宋体" w:eastAsia="宋体" w:cs="Times New Roman"/>
          <w:kern w:val="0"/>
          <w:sz w:val="24"/>
        </w:rPr>
        <w:t>4、中标人维护服务人员100%经过岗前培训合格才上岗；</w:t>
      </w:r>
    </w:p>
    <w:p w14:paraId="64603E94">
      <w:pPr>
        <w:adjustRightInd w:val="0"/>
        <w:spacing w:before="50" w:line="360" w:lineRule="auto"/>
        <w:ind w:firstLine="480" w:firstLineChars="200"/>
        <w:jc w:val="left"/>
        <w:rPr>
          <w:rFonts w:ascii="宋体" w:hAnsi="宋体" w:eastAsia="宋体" w:cs="Times New Roman"/>
          <w:kern w:val="0"/>
          <w:sz w:val="24"/>
        </w:rPr>
      </w:pPr>
      <w:r>
        <w:rPr>
          <w:rFonts w:hint="eastAsia" w:ascii="宋体" w:hAnsi="宋体" w:eastAsia="宋体" w:cs="Times New Roman"/>
          <w:kern w:val="0"/>
          <w:sz w:val="24"/>
        </w:rPr>
        <w:t>5、中标人不得在合同期限内将本项目的管理权转包或分包；</w:t>
      </w:r>
    </w:p>
    <w:p w14:paraId="5B4DA6EE">
      <w:pPr>
        <w:adjustRightInd w:val="0"/>
        <w:spacing w:before="50" w:line="360" w:lineRule="auto"/>
        <w:ind w:firstLine="480" w:firstLineChars="200"/>
        <w:jc w:val="left"/>
        <w:rPr>
          <w:rFonts w:ascii="宋体" w:hAnsi="宋体" w:eastAsia="宋体" w:cs="Times New Roman"/>
          <w:kern w:val="0"/>
          <w:sz w:val="24"/>
        </w:rPr>
      </w:pPr>
      <w:r>
        <w:rPr>
          <w:rFonts w:hint="eastAsia" w:ascii="宋体" w:hAnsi="宋体" w:eastAsia="宋体" w:cs="Times New Roman"/>
          <w:kern w:val="0"/>
          <w:sz w:val="24"/>
        </w:rPr>
        <w:t>6、中标人须严格按照标准化的操作程序、完善的培训体系和质量控制体系完成本项目，以保证整个服务系统安全、高效、有序和有计划地运转；</w:t>
      </w:r>
    </w:p>
    <w:p w14:paraId="4D09D945">
      <w:pPr>
        <w:adjustRightInd w:val="0"/>
        <w:spacing w:before="50" w:line="360" w:lineRule="auto"/>
        <w:ind w:firstLine="480" w:firstLineChars="200"/>
        <w:jc w:val="left"/>
        <w:rPr>
          <w:rFonts w:ascii="宋体" w:hAnsi="宋体" w:eastAsia="宋体" w:cs="Times New Roman"/>
          <w:kern w:val="0"/>
          <w:sz w:val="24"/>
        </w:rPr>
      </w:pPr>
      <w:r>
        <w:rPr>
          <w:rFonts w:hint="eastAsia" w:ascii="宋体" w:hAnsi="宋体" w:eastAsia="宋体" w:cs="Times New Roman"/>
          <w:kern w:val="0"/>
          <w:sz w:val="24"/>
        </w:rPr>
        <w:t>7、中标人有责任配合采购人接受上级领导部门及环保执法大队的监督、检查，提供必须的资料。每年应将服务人员、所有管理及培训资料交一份给采购人，如有需要必须随时提供；</w:t>
      </w:r>
    </w:p>
    <w:p w14:paraId="0DE0F99F">
      <w:pPr>
        <w:adjustRightInd w:val="0"/>
        <w:spacing w:before="50" w:line="360" w:lineRule="auto"/>
        <w:ind w:firstLine="480" w:firstLineChars="200"/>
        <w:jc w:val="left"/>
        <w:rPr>
          <w:rFonts w:ascii="宋体" w:hAnsi="宋体" w:eastAsia="宋体" w:cs="Times New Roman"/>
          <w:kern w:val="0"/>
          <w:sz w:val="24"/>
        </w:rPr>
      </w:pPr>
      <w:r>
        <w:rPr>
          <w:rFonts w:hint="eastAsia" w:ascii="宋体" w:hAnsi="宋体" w:eastAsia="宋体" w:cs="Times New Roman"/>
          <w:kern w:val="0"/>
          <w:sz w:val="24"/>
        </w:rPr>
        <w:t>8、不接受投标人任何因遗漏报价而发生的费用追加，因投标人违反《劳动法》等法律法规而造成的连带责任和损失全部由中标人承担；</w:t>
      </w:r>
    </w:p>
    <w:p w14:paraId="0AD4FC2B">
      <w:pPr>
        <w:widowControl/>
        <w:shd w:val="clear" w:color="auto" w:fill="FFFFFF"/>
        <w:wordWrap w:val="0"/>
        <w:adjustRightInd w:val="0"/>
        <w:spacing w:line="360" w:lineRule="auto"/>
        <w:ind w:firstLine="480"/>
        <w:jc w:val="left"/>
        <w:rPr>
          <w:rFonts w:ascii="宋体" w:hAnsi="宋体" w:eastAsia="宋体" w:cs="Times New Roman"/>
          <w:kern w:val="0"/>
          <w:sz w:val="24"/>
        </w:rPr>
      </w:pPr>
      <w:r>
        <w:rPr>
          <w:rFonts w:hint="eastAsia" w:ascii="宋体" w:hAnsi="宋体" w:eastAsia="宋体" w:cs="宋体"/>
          <w:kern w:val="0"/>
          <w:sz w:val="24"/>
        </w:rPr>
        <w:t>9、</w:t>
      </w:r>
      <w:r>
        <w:rPr>
          <w:rFonts w:hint="eastAsia" w:ascii="宋体" w:hAnsi="宋体" w:eastAsia="宋体" w:cs="Times New Roman"/>
          <w:kern w:val="0"/>
          <w:sz w:val="24"/>
        </w:rPr>
        <w:t>中标人对服务缺陷不予更正，采购人将发出书面整改通知，若中标人仍没有改正的，采购人有权进行处罚；</w:t>
      </w:r>
    </w:p>
    <w:p w14:paraId="27DAA1F7">
      <w:pPr>
        <w:adjustRightInd w:val="0"/>
        <w:spacing w:line="360" w:lineRule="auto"/>
        <w:ind w:firstLine="480" w:firstLineChars="200"/>
        <w:jc w:val="left"/>
        <w:rPr>
          <w:rFonts w:ascii="宋体" w:hAnsi="宋体" w:eastAsia="宋体" w:cs="Times New Roman"/>
          <w:kern w:val="0"/>
          <w:sz w:val="24"/>
        </w:rPr>
      </w:pPr>
      <w:r>
        <w:rPr>
          <w:rFonts w:hint="eastAsia" w:ascii="宋体" w:hAnsi="宋体" w:eastAsia="宋体" w:cs="Times New Roman"/>
          <w:kern w:val="0"/>
          <w:sz w:val="24"/>
        </w:rPr>
        <w:t>10、如遇采购人有特殊情况造成中标人工作量减少或增加幅度较大时，采购人将提前一周告知中标人，合同内容经双方协商调整</w:t>
      </w:r>
    </w:p>
    <w:p w14:paraId="098437E2">
      <w:pPr>
        <w:adjustRightInd w:val="0"/>
        <w:spacing w:line="360" w:lineRule="auto"/>
        <w:ind w:firstLine="480" w:firstLineChars="200"/>
        <w:jc w:val="left"/>
        <w:rPr>
          <w:rFonts w:ascii="宋体" w:hAnsi="宋体" w:eastAsia="宋体" w:cs="Times New Roman"/>
          <w:kern w:val="0"/>
          <w:sz w:val="24"/>
        </w:rPr>
      </w:pPr>
      <w:r>
        <w:rPr>
          <w:rFonts w:hint="eastAsia" w:ascii="宋体" w:hAnsi="宋体" w:eastAsia="宋体" w:cs="Times New Roman"/>
          <w:kern w:val="0"/>
          <w:sz w:val="24"/>
        </w:rPr>
        <w:t>11、需采购人配合的工作：投标人应在投标文件中说明，如能中标，在服务过程中需要采购人配合的工作和需要提供的条件。；</w:t>
      </w:r>
    </w:p>
    <w:p w14:paraId="30608097">
      <w:pPr>
        <w:adjustRightInd w:val="0"/>
        <w:spacing w:line="360" w:lineRule="auto"/>
        <w:ind w:firstLine="480" w:firstLineChars="200"/>
        <w:jc w:val="left"/>
        <w:rPr>
          <w:rFonts w:ascii="宋体" w:hAnsi="宋体" w:eastAsia="宋体" w:cs="Times New Roman"/>
          <w:kern w:val="0"/>
          <w:sz w:val="24"/>
        </w:rPr>
      </w:pPr>
      <w:r>
        <w:rPr>
          <w:rFonts w:hint="eastAsia" w:ascii="宋体" w:hAnsi="宋体" w:eastAsia="宋体" w:cs="Times New Roman"/>
          <w:kern w:val="0"/>
          <w:sz w:val="24"/>
        </w:rPr>
        <w:t>12、本项目合同期期限暂定为一年。本次投标报价投标人仅需提供年度费用报价。如中标人在履行合同期间违反合同约定，采购人有权解除合同；</w:t>
      </w:r>
    </w:p>
    <w:p w14:paraId="0131F022">
      <w:pPr>
        <w:widowControl/>
        <w:shd w:val="clear" w:color="auto" w:fill="FFFFFF"/>
        <w:wordWrap w:val="0"/>
        <w:adjustRightInd w:val="0"/>
        <w:spacing w:line="360" w:lineRule="auto"/>
        <w:ind w:firstLine="480"/>
        <w:jc w:val="left"/>
        <w:rPr>
          <w:rFonts w:ascii="宋体" w:hAnsi="宋体" w:eastAsia="宋体" w:cs="宋体"/>
          <w:kern w:val="0"/>
          <w:sz w:val="24"/>
        </w:rPr>
      </w:pPr>
      <w:r>
        <w:rPr>
          <w:rFonts w:hint="eastAsia" w:ascii="宋体" w:hAnsi="宋体" w:eastAsia="宋体" w:cs="宋体"/>
          <w:kern w:val="0"/>
          <w:sz w:val="24"/>
        </w:rPr>
        <w:t>13、如需要，供应商可自行踏勘现场，本次采购采购人不组织集中踏勘。</w:t>
      </w:r>
    </w:p>
    <w:p w14:paraId="73D60291">
      <w:pPr>
        <w:adjustRightInd w:val="0"/>
        <w:spacing w:line="360" w:lineRule="auto"/>
        <w:rPr>
          <w:rFonts w:ascii="宋体" w:hAnsi="宋体" w:eastAsia="宋体" w:cs="宋体"/>
          <w:kern w:val="0"/>
          <w:sz w:val="24"/>
        </w:rPr>
      </w:pPr>
    </w:p>
    <w:p w14:paraId="742D7A0C">
      <w:pPr>
        <w:adjustRightInd w:val="0"/>
        <w:spacing w:line="360" w:lineRule="auto"/>
        <w:rPr>
          <w:rFonts w:ascii="宋体" w:hAnsi="宋体" w:eastAsia="宋体" w:cs="Times New Roman"/>
          <w:b/>
          <w:kern w:val="0"/>
          <w:sz w:val="24"/>
        </w:rPr>
      </w:pPr>
      <w:r>
        <w:rPr>
          <w:rFonts w:hint="eastAsia" w:ascii="宋体" w:hAnsi="宋体" w:eastAsia="宋体" w:cs="Times New Roman"/>
          <w:b/>
          <w:kern w:val="0"/>
          <w:sz w:val="24"/>
        </w:rPr>
        <w:t>五、设备清单</w:t>
      </w:r>
    </w:p>
    <w:tbl>
      <w:tblPr>
        <w:tblStyle w:val="13"/>
        <w:tblW w:w="9005" w:type="dxa"/>
        <w:jc w:val="center"/>
        <w:tblLayout w:type="fixed"/>
        <w:tblCellMar>
          <w:top w:w="0" w:type="dxa"/>
          <w:left w:w="108" w:type="dxa"/>
          <w:bottom w:w="0" w:type="dxa"/>
          <w:right w:w="108" w:type="dxa"/>
        </w:tblCellMar>
      </w:tblPr>
      <w:tblGrid>
        <w:gridCol w:w="851"/>
        <w:gridCol w:w="1779"/>
        <w:gridCol w:w="2125"/>
        <w:gridCol w:w="2125"/>
        <w:gridCol w:w="2125"/>
      </w:tblGrid>
      <w:tr w14:paraId="137607F0">
        <w:tblPrEx>
          <w:tblCellMar>
            <w:top w:w="0" w:type="dxa"/>
            <w:left w:w="108" w:type="dxa"/>
            <w:bottom w:w="0" w:type="dxa"/>
            <w:right w:w="108" w:type="dxa"/>
          </w:tblCellMar>
        </w:tblPrEx>
        <w:trPr>
          <w:trHeight w:val="402" w:hRule="atLeast"/>
          <w:jc w:val="center"/>
        </w:trPr>
        <w:tc>
          <w:tcPr>
            <w:tcW w:w="851" w:type="dxa"/>
            <w:tcBorders>
              <w:top w:val="single" w:color="auto" w:sz="8" w:space="0"/>
              <w:left w:val="single" w:color="auto" w:sz="8" w:space="0"/>
              <w:bottom w:val="single" w:color="auto" w:sz="4" w:space="0"/>
              <w:right w:val="single" w:color="auto" w:sz="4" w:space="0"/>
            </w:tcBorders>
            <w:vAlign w:val="center"/>
          </w:tcPr>
          <w:p w14:paraId="0FB01007">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序号</w:t>
            </w:r>
          </w:p>
        </w:tc>
        <w:tc>
          <w:tcPr>
            <w:tcW w:w="1779" w:type="dxa"/>
            <w:tcBorders>
              <w:top w:val="single" w:color="auto" w:sz="8" w:space="0"/>
              <w:left w:val="nil"/>
              <w:bottom w:val="single" w:color="auto" w:sz="4" w:space="0"/>
              <w:right w:val="single" w:color="auto" w:sz="4" w:space="0"/>
            </w:tcBorders>
            <w:vAlign w:val="center"/>
          </w:tcPr>
          <w:p w14:paraId="7063A525">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名称</w:t>
            </w:r>
          </w:p>
        </w:tc>
        <w:tc>
          <w:tcPr>
            <w:tcW w:w="2125" w:type="dxa"/>
            <w:tcBorders>
              <w:top w:val="single" w:color="auto" w:sz="8" w:space="0"/>
              <w:left w:val="nil"/>
              <w:bottom w:val="single" w:color="auto" w:sz="4" w:space="0"/>
              <w:right w:val="single" w:color="auto" w:sz="4" w:space="0"/>
            </w:tcBorders>
            <w:vAlign w:val="center"/>
          </w:tcPr>
          <w:p w14:paraId="39C37D05">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设备型号</w:t>
            </w:r>
          </w:p>
        </w:tc>
        <w:tc>
          <w:tcPr>
            <w:tcW w:w="2125" w:type="dxa"/>
            <w:tcBorders>
              <w:top w:val="single" w:color="auto" w:sz="8" w:space="0"/>
              <w:left w:val="nil"/>
              <w:bottom w:val="single" w:color="auto" w:sz="4" w:space="0"/>
              <w:right w:val="single" w:color="auto" w:sz="4" w:space="0"/>
            </w:tcBorders>
            <w:vAlign w:val="center"/>
          </w:tcPr>
          <w:p w14:paraId="049BF23A">
            <w:pPr>
              <w:widowControl/>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数量</w:t>
            </w:r>
          </w:p>
        </w:tc>
        <w:tc>
          <w:tcPr>
            <w:tcW w:w="2125" w:type="dxa"/>
            <w:tcBorders>
              <w:top w:val="single" w:color="auto" w:sz="8" w:space="0"/>
              <w:left w:val="nil"/>
              <w:bottom w:val="single" w:color="auto" w:sz="4" w:space="0"/>
              <w:right w:val="single" w:color="auto" w:sz="4" w:space="0"/>
            </w:tcBorders>
            <w:vAlign w:val="center"/>
          </w:tcPr>
          <w:p w14:paraId="638ADC60">
            <w:pPr>
              <w:widowControl/>
              <w:jc w:val="center"/>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备注</w:t>
            </w:r>
          </w:p>
        </w:tc>
      </w:tr>
      <w:tr w14:paraId="5936B5F6">
        <w:tblPrEx>
          <w:tblCellMar>
            <w:top w:w="0" w:type="dxa"/>
            <w:left w:w="108" w:type="dxa"/>
            <w:bottom w:w="0" w:type="dxa"/>
            <w:right w:w="108" w:type="dxa"/>
          </w:tblCellMar>
        </w:tblPrEx>
        <w:trPr>
          <w:trHeight w:val="599" w:hRule="atLeast"/>
          <w:jc w:val="center"/>
        </w:trPr>
        <w:tc>
          <w:tcPr>
            <w:tcW w:w="851" w:type="dxa"/>
            <w:tcBorders>
              <w:top w:val="nil"/>
              <w:left w:val="single" w:color="auto" w:sz="8" w:space="0"/>
              <w:bottom w:val="single" w:color="auto" w:sz="4" w:space="0"/>
              <w:right w:val="single" w:color="auto" w:sz="4" w:space="0"/>
            </w:tcBorders>
            <w:vAlign w:val="center"/>
          </w:tcPr>
          <w:p w14:paraId="62D24CE0">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1</w:t>
            </w:r>
          </w:p>
        </w:tc>
        <w:tc>
          <w:tcPr>
            <w:tcW w:w="1779" w:type="dxa"/>
            <w:tcBorders>
              <w:top w:val="nil"/>
              <w:left w:val="nil"/>
              <w:bottom w:val="single" w:color="auto" w:sz="4" w:space="0"/>
              <w:right w:val="single" w:color="auto" w:sz="4" w:space="0"/>
            </w:tcBorders>
            <w:vAlign w:val="center"/>
          </w:tcPr>
          <w:p w14:paraId="26929336">
            <w:pPr>
              <w:keepNext w:val="0"/>
              <w:keepLines w:val="0"/>
              <w:widowControl/>
              <w:suppressLineNumbers w:val="0"/>
              <w:jc w:val="left"/>
            </w:pPr>
            <w:r>
              <w:rPr>
                <w:rFonts w:hint="eastAsia" w:ascii="宋体" w:hAnsi="宋体" w:eastAsia="宋体" w:cs="宋体"/>
                <w:color w:val="000000"/>
                <w:kern w:val="0"/>
                <w:sz w:val="20"/>
                <w:szCs w:val="20"/>
                <w:lang w:val="en-US" w:eastAsia="zh-CN" w:bidi="ar"/>
              </w:rPr>
              <w:t>电磁波水处理器</w:t>
            </w:r>
          </w:p>
          <w:p w14:paraId="38DC23D6">
            <w:pPr>
              <w:widowControl/>
              <w:jc w:val="center"/>
              <w:rPr>
                <w:rFonts w:ascii="宋体" w:hAnsi="宋体" w:eastAsia="宋体" w:cs="宋体"/>
                <w:color w:val="000000"/>
                <w:kern w:val="0"/>
                <w:sz w:val="24"/>
              </w:rPr>
            </w:pPr>
          </w:p>
        </w:tc>
        <w:tc>
          <w:tcPr>
            <w:tcW w:w="2125" w:type="dxa"/>
            <w:tcBorders>
              <w:top w:val="nil"/>
              <w:left w:val="nil"/>
              <w:bottom w:val="single" w:color="auto" w:sz="4" w:space="0"/>
              <w:right w:val="single" w:color="auto" w:sz="4" w:space="0"/>
            </w:tcBorders>
            <w:vAlign w:val="center"/>
          </w:tcPr>
          <w:p w14:paraId="7057A93F">
            <w:pPr>
              <w:widowControl/>
              <w:jc w:val="center"/>
              <w:rPr>
                <w:rFonts w:ascii="宋体" w:hAnsi="宋体" w:eastAsia="宋体" w:cs="宋体"/>
                <w:color w:val="000000"/>
                <w:kern w:val="0"/>
                <w:sz w:val="24"/>
              </w:rPr>
            </w:pPr>
            <w:r>
              <w:rPr>
                <w:rFonts w:ascii="宋体" w:hAnsi="宋体" w:eastAsia="宋体" w:cs="Times New Roman"/>
                <w:kern w:val="0"/>
                <w:sz w:val="24"/>
              </w:rPr>
              <w:t>Φ</w:t>
            </w:r>
            <w:r>
              <w:rPr>
                <w:rFonts w:hint="eastAsia" w:ascii="宋体" w:hAnsi="宋体" w:eastAsia="宋体" w:cs="Times New Roman"/>
                <w:kern w:val="0"/>
                <w:sz w:val="24"/>
                <w:lang w:val="en-US" w:eastAsia="zh-CN"/>
              </w:rPr>
              <w:t>55</w:t>
            </w:r>
            <w:r>
              <w:rPr>
                <w:rFonts w:ascii="宋体" w:hAnsi="宋体" w:eastAsia="宋体" w:cs="Times New Roman"/>
                <w:kern w:val="0"/>
                <w:sz w:val="24"/>
              </w:rPr>
              <w:t>0</w:t>
            </w:r>
            <w:r>
              <w:rPr>
                <w:rFonts w:hint="eastAsia" w:ascii="宋体" w:hAnsi="宋体" w:eastAsia="宋体" w:cs="Times New Roman"/>
                <w:kern w:val="0"/>
                <w:sz w:val="24"/>
              </w:rPr>
              <w:t>mm</w:t>
            </w:r>
          </w:p>
        </w:tc>
        <w:tc>
          <w:tcPr>
            <w:tcW w:w="2125" w:type="dxa"/>
            <w:tcBorders>
              <w:top w:val="nil"/>
              <w:left w:val="nil"/>
              <w:bottom w:val="single" w:color="auto" w:sz="4" w:space="0"/>
              <w:right w:val="single" w:color="auto" w:sz="4" w:space="0"/>
            </w:tcBorders>
            <w:vAlign w:val="center"/>
          </w:tcPr>
          <w:p w14:paraId="399DE9AA">
            <w:pPr>
              <w:widowControl/>
              <w:jc w:val="center"/>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1</w:t>
            </w:r>
          </w:p>
        </w:tc>
        <w:tc>
          <w:tcPr>
            <w:tcW w:w="2125" w:type="dxa"/>
            <w:tcBorders>
              <w:top w:val="nil"/>
              <w:left w:val="nil"/>
              <w:bottom w:val="single" w:color="auto" w:sz="4" w:space="0"/>
              <w:right w:val="single" w:color="auto" w:sz="4" w:space="0"/>
            </w:tcBorders>
            <w:vAlign w:val="center"/>
          </w:tcPr>
          <w:p w14:paraId="0F601646">
            <w:pPr>
              <w:keepNext w:val="0"/>
              <w:keepLines w:val="0"/>
              <w:widowControl/>
              <w:suppressLineNumbers w:val="0"/>
              <w:jc w:val="left"/>
            </w:pPr>
            <w:r>
              <w:rPr>
                <w:rFonts w:hint="eastAsia" w:ascii="宋体" w:hAnsi="宋体" w:eastAsia="宋体" w:cs="宋体"/>
                <w:color w:val="000000"/>
                <w:kern w:val="0"/>
                <w:sz w:val="20"/>
                <w:szCs w:val="20"/>
                <w:lang w:val="en-US" w:eastAsia="zh-CN" w:bidi="ar"/>
              </w:rPr>
              <w:t>1#、2#制冷机组冷却主循环管道</w:t>
            </w:r>
          </w:p>
          <w:p w14:paraId="586E19E6">
            <w:pPr>
              <w:widowControl/>
              <w:jc w:val="center"/>
              <w:rPr>
                <w:rFonts w:ascii="宋体" w:hAnsi="宋体" w:eastAsia="宋体" w:cs="Times New Roman"/>
                <w:b/>
                <w:bCs/>
                <w:kern w:val="0"/>
                <w:sz w:val="24"/>
              </w:rPr>
            </w:pPr>
          </w:p>
        </w:tc>
      </w:tr>
      <w:tr w14:paraId="7DABBB25">
        <w:tblPrEx>
          <w:tblCellMar>
            <w:top w:w="0" w:type="dxa"/>
            <w:left w:w="108" w:type="dxa"/>
            <w:bottom w:w="0" w:type="dxa"/>
            <w:right w:w="108" w:type="dxa"/>
          </w:tblCellMar>
        </w:tblPrEx>
        <w:trPr>
          <w:trHeight w:val="365" w:hRule="atLeast"/>
          <w:jc w:val="center"/>
        </w:trPr>
        <w:tc>
          <w:tcPr>
            <w:tcW w:w="851" w:type="dxa"/>
            <w:tcBorders>
              <w:top w:val="nil"/>
              <w:left w:val="single" w:color="auto" w:sz="8" w:space="0"/>
              <w:bottom w:val="single" w:color="auto" w:sz="4" w:space="0"/>
              <w:right w:val="single" w:color="auto" w:sz="4" w:space="0"/>
            </w:tcBorders>
            <w:vAlign w:val="center"/>
          </w:tcPr>
          <w:p w14:paraId="4A510535">
            <w:pPr>
              <w:adjustRightInd w:val="0"/>
              <w:spacing w:line="360" w:lineRule="atLeast"/>
              <w:jc w:val="center"/>
              <w:rPr>
                <w:rFonts w:ascii="宋体" w:hAnsi="宋体" w:eastAsia="宋体" w:cs="Times New Roman"/>
                <w:kern w:val="0"/>
                <w:sz w:val="24"/>
              </w:rPr>
            </w:pPr>
            <w:r>
              <w:rPr>
                <w:rFonts w:ascii="宋体" w:hAnsi="宋体" w:eastAsia="宋体" w:cs="Times New Roman"/>
                <w:kern w:val="0"/>
                <w:sz w:val="24"/>
              </w:rPr>
              <w:t>2</w:t>
            </w:r>
          </w:p>
        </w:tc>
        <w:tc>
          <w:tcPr>
            <w:tcW w:w="1779" w:type="dxa"/>
            <w:tcBorders>
              <w:top w:val="nil"/>
              <w:left w:val="nil"/>
              <w:bottom w:val="single" w:color="auto" w:sz="4" w:space="0"/>
              <w:right w:val="single" w:color="auto" w:sz="4" w:space="0"/>
            </w:tcBorders>
            <w:vAlign w:val="center"/>
          </w:tcPr>
          <w:p w14:paraId="1957139A">
            <w:pPr>
              <w:keepNext w:val="0"/>
              <w:keepLines w:val="0"/>
              <w:widowControl/>
              <w:suppressLineNumbers w:val="0"/>
              <w:jc w:val="left"/>
            </w:pPr>
            <w:r>
              <w:rPr>
                <w:rFonts w:hint="eastAsia" w:ascii="宋体" w:hAnsi="宋体" w:eastAsia="宋体" w:cs="宋体"/>
                <w:color w:val="000000"/>
                <w:kern w:val="0"/>
                <w:sz w:val="20"/>
                <w:szCs w:val="20"/>
                <w:lang w:val="en-US" w:eastAsia="zh-CN" w:bidi="ar"/>
              </w:rPr>
              <w:t>电磁波水处理器</w:t>
            </w:r>
          </w:p>
          <w:p w14:paraId="21419281">
            <w:pPr>
              <w:adjustRightInd w:val="0"/>
              <w:spacing w:line="360" w:lineRule="atLeast"/>
              <w:jc w:val="center"/>
              <w:rPr>
                <w:rFonts w:ascii="宋体" w:hAnsi="宋体" w:eastAsia="宋体" w:cs="Times New Roman"/>
                <w:kern w:val="0"/>
                <w:sz w:val="24"/>
              </w:rPr>
            </w:pPr>
          </w:p>
        </w:tc>
        <w:tc>
          <w:tcPr>
            <w:tcW w:w="2125" w:type="dxa"/>
            <w:tcBorders>
              <w:top w:val="nil"/>
              <w:left w:val="nil"/>
              <w:bottom w:val="single" w:color="auto" w:sz="4" w:space="0"/>
              <w:right w:val="single" w:color="auto" w:sz="4" w:space="0"/>
            </w:tcBorders>
            <w:vAlign w:val="center"/>
          </w:tcPr>
          <w:p w14:paraId="6B9E26F1">
            <w:pPr>
              <w:widowControl/>
              <w:jc w:val="center"/>
              <w:rPr>
                <w:rFonts w:ascii="宋体" w:hAnsi="宋体" w:eastAsia="宋体" w:cs="宋体"/>
                <w:color w:val="000000"/>
                <w:kern w:val="0"/>
                <w:sz w:val="24"/>
              </w:rPr>
            </w:pPr>
            <w:r>
              <w:rPr>
                <w:rFonts w:ascii="宋体" w:hAnsi="宋体" w:eastAsia="宋体" w:cs="Times New Roman"/>
                <w:kern w:val="0"/>
                <w:sz w:val="24"/>
              </w:rPr>
              <w:t>Φ</w:t>
            </w:r>
            <w:r>
              <w:rPr>
                <w:rFonts w:hint="eastAsia" w:ascii="宋体" w:hAnsi="宋体" w:eastAsia="宋体" w:cs="Times New Roman"/>
                <w:kern w:val="0"/>
                <w:sz w:val="24"/>
                <w:lang w:val="en-US" w:eastAsia="zh-CN"/>
              </w:rPr>
              <w:t>45</w:t>
            </w:r>
            <w:r>
              <w:rPr>
                <w:rFonts w:ascii="宋体" w:hAnsi="宋体" w:eastAsia="宋体" w:cs="Times New Roman"/>
                <w:kern w:val="0"/>
                <w:sz w:val="24"/>
              </w:rPr>
              <w:t>0</w:t>
            </w:r>
            <w:r>
              <w:rPr>
                <w:rFonts w:hint="eastAsia" w:ascii="宋体" w:hAnsi="宋体" w:eastAsia="宋体" w:cs="Times New Roman"/>
                <w:kern w:val="0"/>
                <w:sz w:val="24"/>
              </w:rPr>
              <w:t>mm</w:t>
            </w:r>
          </w:p>
        </w:tc>
        <w:tc>
          <w:tcPr>
            <w:tcW w:w="2125" w:type="dxa"/>
            <w:tcBorders>
              <w:top w:val="nil"/>
              <w:left w:val="nil"/>
              <w:bottom w:val="single" w:color="auto" w:sz="4" w:space="0"/>
              <w:right w:val="single" w:color="auto" w:sz="4" w:space="0"/>
            </w:tcBorders>
            <w:vAlign w:val="center"/>
          </w:tcPr>
          <w:p w14:paraId="76D40495">
            <w:pPr>
              <w:widowControl/>
              <w:jc w:val="center"/>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1</w:t>
            </w:r>
          </w:p>
        </w:tc>
        <w:tc>
          <w:tcPr>
            <w:tcW w:w="2125" w:type="dxa"/>
            <w:tcBorders>
              <w:top w:val="nil"/>
              <w:left w:val="nil"/>
              <w:bottom w:val="single" w:color="auto" w:sz="4" w:space="0"/>
              <w:right w:val="single" w:color="auto" w:sz="4" w:space="0"/>
            </w:tcBorders>
            <w:vAlign w:val="center"/>
          </w:tcPr>
          <w:p w14:paraId="169DCDDD">
            <w:pPr>
              <w:keepNext w:val="0"/>
              <w:keepLines w:val="0"/>
              <w:widowControl/>
              <w:suppressLineNumbers w:val="0"/>
              <w:jc w:val="left"/>
            </w:pPr>
            <w:r>
              <w:rPr>
                <w:rFonts w:hint="eastAsia" w:ascii="宋体" w:hAnsi="宋体" w:eastAsia="宋体" w:cs="宋体"/>
                <w:color w:val="000000"/>
                <w:kern w:val="0"/>
                <w:sz w:val="20"/>
                <w:szCs w:val="20"/>
                <w:lang w:val="en-US" w:eastAsia="zh-CN" w:bidi="ar"/>
              </w:rPr>
              <w:t>1#、2#制冷机组冷冻主循环管道</w:t>
            </w:r>
          </w:p>
          <w:p w14:paraId="03B88619">
            <w:pPr>
              <w:widowControl/>
              <w:jc w:val="center"/>
              <w:rPr>
                <w:rFonts w:ascii="宋体" w:hAnsi="宋体" w:eastAsia="宋体" w:cs="Times New Roman"/>
                <w:kern w:val="0"/>
                <w:sz w:val="24"/>
              </w:rPr>
            </w:pPr>
          </w:p>
        </w:tc>
      </w:tr>
      <w:tr w14:paraId="793F7F52">
        <w:tblPrEx>
          <w:tblCellMar>
            <w:top w:w="0" w:type="dxa"/>
            <w:left w:w="108" w:type="dxa"/>
            <w:bottom w:w="0" w:type="dxa"/>
            <w:right w:w="108" w:type="dxa"/>
          </w:tblCellMar>
        </w:tblPrEx>
        <w:trPr>
          <w:trHeight w:val="402" w:hRule="atLeast"/>
          <w:jc w:val="center"/>
        </w:trPr>
        <w:tc>
          <w:tcPr>
            <w:tcW w:w="851" w:type="dxa"/>
            <w:tcBorders>
              <w:top w:val="nil"/>
              <w:left w:val="single" w:color="auto" w:sz="8" w:space="0"/>
              <w:bottom w:val="single" w:color="auto" w:sz="4" w:space="0"/>
              <w:right w:val="single" w:color="auto" w:sz="4" w:space="0"/>
            </w:tcBorders>
            <w:vAlign w:val="center"/>
          </w:tcPr>
          <w:p w14:paraId="6007EE30">
            <w:pPr>
              <w:adjustRightInd w:val="0"/>
              <w:spacing w:line="360" w:lineRule="atLeast"/>
              <w:jc w:val="center"/>
              <w:rPr>
                <w:rFonts w:ascii="宋体" w:hAnsi="宋体" w:eastAsia="宋体" w:cs="Times New Roman"/>
                <w:kern w:val="0"/>
                <w:sz w:val="24"/>
              </w:rPr>
            </w:pPr>
            <w:r>
              <w:rPr>
                <w:rFonts w:ascii="宋体" w:hAnsi="宋体" w:eastAsia="宋体" w:cs="Times New Roman"/>
                <w:kern w:val="0"/>
                <w:sz w:val="24"/>
              </w:rPr>
              <w:t>3</w:t>
            </w:r>
          </w:p>
        </w:tc>
        <w:tc>
          <w:tcPr>
            <w:tcW w:w="1779" w:type="dxa"/>
            <w:tcBorders>
              <w:top w:val="nil"/>
              <w:left w:val="nil"/>
              <w:bottom w:val="single" w:color="auto" w:sz="4" w:space="0"/>
              <w:right w:val="single" w:color="auto" w:sz="4" w:space="0"/>
            </w:tcBorders>
            <w:vAlign w:val="center"/>
          </w:tcPr>
          <w:p w14:paraId="4A903F8E">
            <w:pPr>
              <w:keepNext w:val="0"/>
              <w:keepLines w:val="0"/>
              <w:widowControl/>
              <w:suppressLineNumbers w:val="0"/>
              <w:jc w:val="left"/>
            </w:pPr>
            <w:r>
              <w:rPr>
                <w:rFonts w:hint="eastAsia" w:ascii="宋体" w:hAnsi="宋体" w:eastAsia="宋体" w:cs="宋体"/>
                <w:color w:val="000000"/>
                <w:kern w:val="0"/>
                <w:sz w:val="20"/>
                <w:szCs w:val="20"/>
                <w:lang w:val="en-US" w:eastAsia="zh-CN" w:bidi="ar"/>
              </w:rPr>
              <w:t>电磁波水处理器</w:t>
            </w:r>
          </w:p>
          <w:p w14:paraId="2B4996EF">
            <w:pPr>
              <w:adjustRightInd w:val="0"/>
              <w:spacing w:line="360" w:lineRule="atLeast"/>
              <w:ind w:firstLine="240" w:firstLineChars="100"/>
              <w:jc w:val="left"/>
              <w:rPr>
                <w:rFonts w:ascii="宋体" w:hAnsi="宋体" w:eastAsia="宋体" w:cs="Times New Roman"/>
                <w:kern w:val="0"/>
                <w:sz w:val="24"/>
              </w:rPr>
            </w:pPr>
          </w:p>
        </w:tc>
        <w:tc>
          <w:tcPr>
            <w:tcW w:w="2125" w:type="dxa"/>
            <w:tcBorders>
              <w:top w:val="nil"/>
              <w:left w:val="nil"/>
              <w:bottom w:val="single" w:color="auto" w:sz="4" w:space="0"/>
              <w:right w:val="single" w:color="auto" w:sz="4" w:space="0"/>
            </w:tcBorders>
            <w:vAlign w:val="center"/>
          </w:tcPr>
          <w:p w14:paraId="41300D17">
            <w:pPr>
              <w:widowControl/>
              <w:jc w:val="center"/>
              <w:rPr>
                <w:rFonts w:ascii="宋体" w:hAnsi="宋体" w:eastAsia="宋体" w:cs="宋体"/>
                <w:color w:val="000000"/>
                <w:kern w:val="0"/>
                <w:sz w:val="24"/>
              </w:rPr>
            </w:pPr>
            <w:r>
              <w:rPr>
                <w:rFonts w:ascii="宋体" w:hAnsi="宋体" w:eastAsia="宋体" w:cs="Times New Roman"/>
                <w:kern w:val="0"/>
                <w:sz w:val="24"/>
              </w:rPr>
              <w:t>Φ</w:t>
            </w:r>
            <w:r>
              <w:rPr>
                <w:rFonts w:hint="eastAsia" w:ascii="宋体" w:hAnsi="宋体" w:eastAsia="宋体" w:cs="Times New Roman"/>
                <w:kern w:val="0"/>
                <w:sz w:val="24"/>
                <w:lang w:val="en-US" w:eastAsia="zh-CN"/>
              </w:rPr>
              <w:t>55</w:t>
            </w:r>
            <w:r>
              <w:rPr>
                <w:rFonts w:ascii="宋体" w:hAnsi="宋体" w:eastAsia="宋体" w:cs="Times New Roman"/>
                <w:kern w:val="0"/>
                <w:sz w:val="24"/>
              </w:rPr>
              <w:t>0</w:t>
            </w:r>
            <w:r>
              <w:rPr>
                <w:rFonts w:hint="eastAsia" w:ascii="宋体" w:hAnsi="宋体" w:eastAsia="宋体" w:cs="Times New Roman"/>
                <w:kern w:val="0"/>
                <w:sz w:val="24"/>
              </w:rPr>
              <w:t>mm</w:t>
            </w:r>
          </w:p>
        </w:tc>
        <w:tc>
          <w:tcPr>
            <w:tcW w:w="2125" w:type="dxa"/>
            <w:tcBorders>
              <w:top w:val="nil"/>
              <w:left w:val="nil"/>
              <w:bottom w:val="single" w:color="auto" w:sz="4" w:space="0"/>
              <w:right w:val="single" w:color="auto" w:sz="4" w:space="0"/>
            </w:tcBorders>
            <w:vAlign w:val="center"/>
          </w:tcPr>
          <w:p w14:paraId="35DEEC2A">
            <w:pPr>
              <w:widowControl/>
              <w:jc w:val="center"/>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1</w:t>
            </w:r>
          </w:p>
        </w:tc>
        <w:tc>
          <w:tcPr>
            <w:tcW w:w="2125" w:type="dxa"/>
            <w:tcBorders>
              <w:top w:val="nil"/>
              <w:left w:val="nil"/>
              <w:bottom w:val="single" w:color="auto" w:sz="4" w:space="0"/>
              <w:right w:val="single" w:color="auto" w:sz="4" w:space="0"/>
            </w:tcBorders>
            <w:vAlign w:val="center"/>
          </w:tcPr>
          <w:p w14:paraId="70A2C42B">
            <w:pPr>
              <w:keepNext w:val="0"/>
              <w:keepLines w:val="0"/>
              <w:widowControl/>
              <w:suppressLineNumbers w:val="0"/>
              <w:jc w:val="left"/>
            </w:pPr>
            <w:r>
              <w:rPr>
                <w:rFonts w:hint="eastAsia" w:ascii="宋体" w:hAnsi="宋体" w:eastAsia="宋体" w:cs="宋体"/>
                <w:color w:val="000000"/>
                <w:kern w:val="0"/>
                <w:sz w:val="20"/>
                <w:szCs w:val="20"/>
                <w:lang w:val="en-US" w:eastAsia="zh-CN" w:bidi="ar"/>
              </w:rPr>
              <w:t>3#、4#制冷机组冷却主循环管道</w:t>
            </w:r>
          </w:p>
          <w:p w14:paraId="3D9575C2">
            <w:pPr>
              <w:widowControl/>
              <w:jc w:val="center"/>
              <w:rPr>
                <w:rFonts w:ascii="宋体" w:hAnsi="宋体" w:eastAsia="宋体" w:cs="Times New Roman"/>
                <w:kern w:val="0"/>
                <w:sz w:val="24"/>
              </w:rPr>
            </w:pPr>
          </w:p>
        </w:tc>
      </w:tr>
      <w:tr w14:paraId="2C951EC2">
        <w:tblPrEx>
          <w:tblCellMar>
            <w:top w:w="0" w:type="dxa"/>
            <w:left w:w="108" w:type="dxa"/>
            <w:bottom w:w="0" w:type="dxa"/>
            <w:right w:w="108" w:type="dxa"/>
          </w:tblCellMar>
        </w:tblPrEx>
        <w:trPr>
          <w:trHeight w:val="402" w:hRule="atLeast"/>
          <w:jc w:val="center"/>
        </w:trPr>
        <w:tc>
          <w:tcPr>
            <w:tcW w:w="851" w:type="dxa"/>
            <w:tcBorders>
              <w:top w:val="nil"/>
              <w:left w:val="single" w:color="auto" w:sz="8" w:space="0"/>
              <w:bottom w:val="single" w:color="auto" w:sz="4" w:space="0"/>
              <w:right w:val="single" w:color="auto" w:sz="4" w:space="0"/>
            </w:tcBorders>
            <w:vAlign w:val="center"/>
          </w:tcPr>
          <w:p w14:paraId="3647C496">
            <w:pPr>
              <w:adjustRightInd w:val="0"/>
              <w:spacing w:line="360" w:lineRule="atLeast"/>
              <w:jc w:val="center"/>
              <w:rPr>
                <w:rFonts w:ascii="宋体" w:hAnsi="宋体" w:eastAsia="宋体" w:cs="Times New Roman"/>
                <w:kern w:val="0"/>
                <w:sz w:val="24"/>
              </w:rPr>
            </w:pPr>
            <w:r>
              <w:rPr>
                <w:rFonts w:hint="eastAsia" w:ascii="宋体" w:hAnsi="宋体" w:eastAsia="宋体" w:cs="Times New Roman"/>
                <w:kern w:val="0"/>
                <w:sz w:val="24"/>
              </w:rPr>
              <w:t>4</w:t>
            </w:r>
          </w:p>
        </w:tc>
        <w:tc>
          <w:tcPr>
            <w:tcW w:w="1779" w:type="dxa"/>
            <w:tcBorders>
              <w:top w:val="nil"/>
              <w:left w:val="nil"/>
              <w:bottom w:val="single" w:color="auto" w:sz="4" w:space="0"/>
              <w:right w:val="single" w:color="auto" w:sz="4" w:space="0"/>
            </w:tcBorders>
            <w:vAlign w:val="center"/>
          </w:tcPr>
          <w:p w14:paraId="43B619BB">
            <w:pPr>
              <w:keepNext w:val="0"/>
              <w:keepLines w:val="0"/>
              <w:widowControl/>
              <w:suppressLineNumbers w:val="0"/>
              <w:jc w:val="left"/>
            </w:pPr>
            <w:r>
              <w:rPr>
                <w:rFonts w:hint="eastAsia" w:ascii="宋体" w:hAnsi="宋体" w:eastAsia="宋体" w:cs="宋体"/>
                <w:color w:val="000000"/>
                <w:kern w:val="0"/>
                <w:sz w:val="20"/>
                <w:szCs w:val="20"/>
                <w:lang w:val="en-US" w:eastAsia="zh-CN" w:bidi="ar"/>
              </w:rPr>
              <w:t>电磁波水处理器</w:t>
            </w:r>
          </w:p>
          <w:p w14:paraId="7A4D8C60">
            <w:pPr>
              <w:adjustRightInd w:val="0"/>
              <w:spacing w:line="360" w:lineRule="atLeast"/>
              <w:jc w:val="center"/>
              <w:rPr>
                <w:rFonts w:ascii="宋体" w:hAnsi="宋体" w:eastAsia="宋体" w:cs="Times New Roman"/>
                <w:kern w:val="0"/>
                <w:sz w:val="24"/>
              </w:rPr>
            </w:pPr>
          </w:p>
        </w:tc>
        <w:tc>
          <w:tcPr>
            <w:tcW w:w="2125" w:type="dxa"/>
            <w:tcBorders>
              <w:top w:val="nil"/>
              <w:left w:val="nil"/>
              <w:bottom w:val="single" w:color="auto" w:sz="4" w:space="0"/>
              <w:right w:val="single" w:color="auto" w:sz="4" w:space="0"/>
            </w:tcBorders>
            <w:vAlign w:val="center"/>
          </w:tcPr>
          <w:p w14:paraId="0C0F2F92">
            <w:pPr>
              <w:widowControl/>
              <w:jc w:val="center"/>
              <w:rPr>
                <w:rFonts w:ascii="宋体" w:hAnsi="宋体" w:eastAsia="宋体" w:cs="宋体"/>
                <w:color w:val="000000"/>
                <w:kern w:val="0"/>
                <w:sz w:val="24"/>
              </w:rPr>
            </w:pPr>
            <w:r>
              <w:rPr>
                <w:rFonts w:ascii="宋体" w:hAnsi="宋体" w:eastAsia="宋体" w:cs="Times New Roman"/>
                <w:kern w:val="0"/>
                <w:sz w:val="24"/>
              </w:rPr>
              <w:t>Φ</w:t>
            </w:r>
            <w:r>
              <w:rPr>
                <w:rFonts w:hint="eastAsia" w:ascii="宋体" w:hAnsi="宋体" w:eastAsia="宋体" w:cs="Times New Roman"/>
                <w:kern w:val="0"/>
                <w:sz w:val="24"/>
                <w:lang w:val="en-US" w:eastAsia="zh-CN"/>
              </w:rPr>
              <w:t>45</w:t>
            </w:r>
            <w:r>
              <w:rPr>
                <w:rFonts w:ascii="宋体" w:hAnsi="宋体" w:eastAsia="宋体" w:cs="Times New Roman"/>
                <w:kern w:val="0"/>
                <w:sz w:val="24"/>
              </w:rPr>
              <w:t>0</w:t>
            </w:r>
            <w:r>
              <w:rPr>
                <w:rFonts w:hint="eastAsia" w:ascii="宋体" w:hAnsi="宋体" w:eastAsia="宋体" w:cs="Times New Roman"/>
                <w:kern w:val="0"/>
                <w:sz w:val="24"/>
              </w:rPr>
              <w:t>mm</w:t>
            </w:r>
          </w:p>
        </w:tc>
        <w:tc>
          <w:tcPr>
            <w:tcW w:w="2125" w:type="dxa"/>
            <w:tcBorders>
              <w:top w:val="nil"/>
              <w:left w:val="nil"/>
              <w:bottom w:val="single" w:color="auto" w:sz="4" w:space="0"/>
              <w:right w:val="single" w:color="auto" w:sz="4" w:space="0"/>
            </w:tcBorders>
            <w:vAlign w:val="center"/>
          </w:tcPr>
          <w:p w14:paraId="5150DB53">
            <w:pPr>
              <w:widowControl/>
              <w:jc w:val="center"/>
              <w:rPr>
                <w:rFonts w:hint="eastAsia" w:ascii="宋体" w:hAnsi="宋体" w:eastAsia="宋体" w:cs="Times New Roman"/>
                <w:kern w:val="0"/>
                <w:sz w:val="24"/>
                <w:lang w:val="en-US" w:eastAsia="zh-CN"/>
              </w:rPr>
            </w:pPr>
            <w:r>
              <w:rPr>
                <w:rFonts w:hint="eastAsia" w:ascii="宋体" w:hAnsi="宋体" w:eastAsia="宋体" w:cs="Times New Roman"/>
                <w:kern w:val="0"/>
                <w:sz w:val="24"/>
                <w:lang w:val="en-US" w:eastAsia="zh-CN"/>
              </w:rPr>
              <w:t>1</w:t>
            </w:r>
          </w:p>
        </w:tc>
        <w:tc>
          <w:tcPr>
            <w:tcW w:w="2125" w:type="dxa"/>
            <w:tcBorders>
              <w:top w:val="nil"/>
              <w:left w:val="nil"/>
              <w:bottom w:val="single" w:color="auto" w:sz="4" w:space="0"/>
              <w:right w:val="single" w:color="auto" w:sz="4" w:space="0"/>
            </w:tcBorders>
            <w:vAlign w:val="center"/>
          </w:tcPr>
          <w:p w14:paraId="15922B2F">
            <w:pPr>
              <w:keepNext w:val="0"/>
              <w:keepLines w:val="0"/>
              <w:widowControl/>
              <w:suppressLineNumbers w:val="0"/>
              <w:jc w:val="left"/>
            </w:pPr>
            <w:r>
              <w:rPr>
                <w:rFonts w:hint="eastAsia" w:ascii="宋体" w:hAnsi="宋体" w:eastAsia="宋体" w:cs="宋体"/>
                <w:color w:val="000000"/>
                <w:kern w:val="0"/>
                <w:sz w:val="20"/>
                <w:szCs w:val="20"/>
                <w:lang w:val="en-US" w:eastAsia="zh-CN" w:bidi="ar"/>
              </w:rPr>
              <w:t>3#、4#制冷机组冷却主循环管道</w:t>
            </w:r>
          </w:p>
          <w:p w14:paraId="10081704">
            <w:pPr>
              <w:widowControl/>
              <w:jc w:val="center"/>
              <w:rPr>
                <w:rFonts w:ascii="宋体" w:hAnsi="宋体" w:eastAsia="宋体" w:cs="Times New Roman"/>
                <w:kern w:val="0"/>
                <w:sz w:val="24"/>
              </w:rPr>
            </w:pPr>
          </w:p>
        </w:tc>
      </w:tr>
      <w:tr w14:paraId="27E67031">
        <w:tblPrEx>
          <w:tblCellMar>
            <w:top w:w="0" w:type="dxa"/>
            <w:left w:w="108" w:type="dxa"/>
            <w:bottom w:w="0" w:type="dxa"/>
            <w:right w:w="108" w:type="dxa"/>
          </w:tblCellMar>
        </w:tblPrEx>
        <w:trPr>
          <w:trHeight w:val="402" w:hRule="atLeast"/>
          <w:jc w:val="center"/>
        </w:trPr>
        <w:tc>
          <w:tcPr>
            <w:tcW w:w="851" w:type="dxa"/>
            <w:tcBorders>
              <w:top w:val="nil"/>
              <w:left w:val="single" w:color="auto" w:sz="8" w:space="0"/>
              <w:bottom w:val="single" w:color="auto" w:sz="4" w:space="0"/>
              <w:right w:val="single" w:color="auto" w:sz="4" w:space="0"/>
            </w:tcBorders>
            <w:vAlign w:val="center"/>
          </w:tcPr>
          <w:p w14:paraId="585B3835">
            <w:pPr>
              <w:adjustRightInd w:val="0"/>
              <w:spacing w:line="360" w:lineRule="atLeast"/>
              <w:jc w:val="center"/>
              <w:rPr>
                <w:rFonts w:ascii="宋体" w:hAnsi="宋体" w:eastAsia="宋体" w:cs="Times New Roman"/>
                <w:kern w:val="0"/>
                <w:sz w:val="24"/>
              </w:rPr>
            </w:pPr>
          </w:p>
        </w:tc>
        <w:tc>
          <w:tcPr>
            <w:tcW w:w="1779" w:type="dxa"/>
            <w:tcBorders>
              <w:top w:val="nil"/>
              <w:left w:val="nil"/>
              <w:bottom w:val="single" w:color="auto" w:sz="4" w:space="0"/>
              <w:right w:val="single" w:color="auto" w:sz="4" w:space="0"/>
            </w:tcBorders>
            <w:vAlign w:val="center"/>
          </w:tcPr>
          <w:p w14:paraId="3E883D05">
            <w:pPr>
              <w:adjustRightInd w:val="0"/>
              <w:spacing w:line="360" w:lineRule="atLeast"/>
              <w:jc w:val="center"/>
              <w:rPr>
                <w:rFonts w:ascii="宋体" w:hAnsi="宋体" w:eastAsia="宋体" w:cs="Times New Roman"/>
                <w:kern w:val="0"/>
                <w:sz w:val="24"/>
              </w:rPr>
            </w:pPr>
            <w:r>
              <w:rPr>
                <w:rFonts w:hint="eastAsia" w:ascii="宋体" w:hAnsi="宋体" w:eastAsia="宋体" w:cs="Times New Roman"/>
                <w:kern w:val="0"/>
                <w:sz w:val="24"/>
              </w:rPr>
              <w:t>总价</w:t>
            </w:r>
          </w:p>
        </w:tc>
        <w:tc>
          <w:tcPr>
            <w:tcW w:w="2125" w:type="dxa"/>
            <w:tcBorders>
              <w:top w:val="nil"/>
              <w:left w:val="nil"/>
              <w:bottom w:val="single" w:color="auto" w:sz="4" w:space="0"/>
              <w:right w:val="single" w:color="auto" w:sz="4" w:space="0"/>
            </w:tcBorders>
            <w:vAlign w:val="center"/>
          </w:tcPr>
          <w:p w14:paraId="0B99B4A6">
            <w:pPr>
              <w:widowControl/>
              <w:jc w:val="center"/>
              <w:rPr>
                <w:rFonts w:ascii="宋体" w:hAnsi="宋体" w:eastAsia="宋体" w:cs="宋体"/>
                <w:color w:val="000000"/>
                <w:kern w:val="0"/>
                <w:sz w:val="24"/>
              </w:rPr>
            </w:pPr>
          </w:p>
        </w:tc>
        <w:tc>
          <w:tcPr>
            <w:tcW w:w="2125" w:type="dxa"/>
            <w:tcBorders>
              <w:top w:val="nil"/>
              <w:left w:val="nil"/>
              <w:bottom w:val="single" w:color="auto" w:sz="4" w:space="0"/>
              <w:right w:val="single" w:color="auto" w:sz="4" w:space="0"/>
            </w:tcBorders>
            <w:vAlign w:val="center"/>
          </w:tcPr>
          <w:p w14:paraId="08C16048">
            <w:pPr>
              <w:widowControl/>
              <w:jc w:val="center"/>
              <w:rPr>
                <w:rFonts w:ascii="宋体" w:hAnsi="宋体" w:eastAsia="宋体" w:cs="宋体"/>
                <w:color w:val="000000"/>
                <w:kern w:val="0"/>
                <w:sz w:val="24"/>
              </w:rPr>
            </w:pPr>
          </w:p>
        </w:tc>
        <w:tc>
          <w:tcPr>
            <w:tcW w:w="2125" w:type="dxa"/>
            <w:tcBorders>
              <w:top w:val="nil"/>
              <w:left w:val="nil"/>
              <w:bottom w:val="single" w:color="auto" w:sz="4" w:space="0"/>
              <w:right w:val="single" w:color="auto" w:sz="4" w:space="0"/>
            </w:tcBorders>
            <w:vAlign w:val="center"/>
          </w:tcPr>
          <w:p w14:paraId="33D064E5">
            <w:pPr>
              <w:widowControl/>
              <w:jc w:val="center"/>
              <w:rPr>
                <w:rFonts w:ascii="宋体" w:hAnsi="宋体" w:eastAsia="宋体" w:cs="宋体"/>
                <w:color w:val="000000"/>
                <w:kern w:val="0"/>
                <w:sz w:val="24"/>
              </w:rPr>
            </w:pPr>
          </w:p>
        </w:tc>
      </w:tr>
    </w:tbl>
    <w:p w14:paraId="6C2D1139">
      <w:pPr>
        <w:adjustRightInd w:val="0"/>
        <w:spacing w:line="360" w:lineRule="auto"/>
        <w:ind w:right="-162"/>
        <w:rPr>
          <w:rFonts w:ascii="宋体" w:hAnsi="宋体" w:eastAsia="宋体" w:cs="Times New Roman"/>
          <w:kern w:val="0"/>
          <w:sz w:val="24"/>
        </w:rPr>
      </w:pPr>
    </w:p>
    <w:p w14:paraId="17FAB2F8">
      <w:pPr>
        <w:adjustRightInd w:val="0"/>
        <w:spacing w:line="360" w:lineRule="auto"/>
        <w:ind w:right="-162"/>
        <w:rPr>
          <w:rFonts w:ascii="宋体" w:hAnsi="宋体" w:eastAsia="宋体" w:cs="Times New Roman"/>
          <w:b/>
          <w:kern w:val="0"/>
          <w:sz w:val="24"/>
        </w:rPr>
      </w:pPr>
      <w:r>
        <w:rPr>
          <w:rFonts w:hint="eastAsia" w:ascii="宋体" w:hAnsi="宋体" w:eastAsia="宋体" w:cs="宋体"/>
          <w:b/>
          <w:kern w:val="0"/>
          <w:sz w:val="24"/>
        </w:rPr>
        <w:t>六、验收方法：每</w:t>
      </w:r>
      <w:r>
        <w:rPr>
          <w:rFonts w:hint="eastAsia" w:ascii="宋体" w:hAnsi="宋体" w:eastAsia="宋体" w:cs="宋体"/>
          <w:b/>
          <w:kern w:val="0"/>
          <w:sz w:val="24"/>
          <w:lang w:val="en-US" w:eastAsia="zh-CN"/>
        </w:rPr>
        <w:t>半年</w:t>
      </w:r>
      <w:r>
        <w:rPr>
          <w:rFonts w:hint="eastAsia" w:ascii="宋体" w:hAnsi="宋体" w:eastAsia="宋体" w:cs="宋体"/>
          <w:b/>
          <w:kern w:val="0"/>
          <w:sz w:val="24"/>
        </w:rPr>
        <w:t>出具国家权威机构检测报告。</w:t>
      </w:r>
    </w:p>
    <w:p w14:paraId="0BE83B5F">
      <w:pPr>
        <w:pStyle w:val="21"/>
        <w:spacing w:after="160" w:line="20" w:lineRule="atLeast"/>
        <w:ind w:firstLine="0" w:firstLineChars="0"/>
        <w:contextualSpacing/>
        <w:rPr>
          <w:rFonts w:ascii="宋体" w:hAnsi="宋体"/>
        </w:rPr>
      </w:pPr>
    </w:p>
    <w:p w14:paraId="673A53AC">
      <w:pPr>
        <w:pStyle w:val="21"/>
        <w:spacing w:after="160" w:line="360" w:lineRule="auto"/>
        <w:ind w:firstLine="0" w:firstLineChars="0"/>
        <w:contextualSpacing/>
        <w:rPr>
          <w:rFonts w:ascii="宋体" w:hAnsi="宋体"/>
        </w:rPr>
      </w:pPr>
    </w:p>
    <w:p w14:paraId="3F047507">
      <w:pPr>
        <w:pStyle w:val="2"/>
        <w:ind w:left="0" w:leftChars="0"/>
      </w:pPr>
    </w:p>
    <w:p w14:paraId="290A6FED">
      <w:pPr>
        <w:pStyle w:val="7"/>
        <w:spacing w:after="0" w:line="240" w:lineRule="auto"/>
        <w:ind w:firstLine="720" w:firstLineChars="200"/>
        <w:jc w:val="center"/>
        <w:rPr>
          <w:rFonts w:hAnsi="宋体" w:cstheme="minorEastAsia"/>
          <w:sz w:val="36"/>
          <w:szCs w:val="36"/>
        </w:rPr>
      </w:pPr>
      <w:r>
        <w:rPr>
          <w:rFonts w:hint="eastAsia" w:hAnsi="宋体" w:cstheme="minorEastAsia"/>
          <w:sz w:val="36"/>
          <w:szCs w:val="36"/>
        </w:rPr>
        <w:t>第四部分 开标和评标</w:t>
      </w:r>
    </w:p>
    <w:p w14:paraId="10749D89">
      <w:pPr>
        <w:ind w:firstLine="480" w:firstLineChars="200"/>
        <w:rPr>
          <w:rFonts w:ascii="宋体" w:hAnsi="宋体" w:eastAsia="宋体" w:cstheme="minorEastAsia"/>
          <w:sz w:val="24"/>
        </w:rPr>
      </w:pPr>
      <w:r>
        <w:rPr>
          <w:rFonts w:hint="eastAsia" w:ascii="宋体" w:hAnsi="宋体" w:eastAsia="宋体" w:cstheme="minorEastAsia"/>
          <w:sz w:val="24"/>
        </w:rPr>
        <w:t>本评标办法将严格遵照国家有关法规规定，并结合本项目特性、采购时间的紧迫和</w:t>
      </w:r>
      <w:r>
        <w:rPr>
          <w:rFonts w:hint="eastAsia" w:ascii="宋体" w:hAnsi="宋体" w:eastAsia="宋体" w:cstheme="minorEastAsia"/>
          <w:sz w:val="24"/>
          <w:lang w:val="en-US" w:eastAsia="zh-CN"/>
        </w:rPr>
        <w:t>沿海</w:t>
      </w:r>
      <w:r>
        <w:rPr>
          <w:rFonts w:hint="eastAsia" w:ascii="宋体" w:hAnsi="宋体" w:eastAsia="宋体" w:cstheme="minorEastAsia"/>
          <w:sz w:val="24"/>
        </w:rPr>
        <w:t>集团指定相关品牌及用品的专业特点，扼要说明。</w:t>
      </w:r>
    </w:p>
    <w:p w14:paraId="64CC3A5A">
      <w:pPr>
        <w:rPr>
          <w:rFonts w:ascii="宋体" w:hAnsi="宋体" w:eastAsia="宋体" w:cstheme="minorEastAsia"/>
          <w:sz w:val="24"/>
        </w:rPr>
      </w:pPr>
    </w:p>
    <w:p w14:paraId="09E787A2">
      <w:pPr>
        <w:rPr>
          <w:rFonts w:ascii="宋体" w:hAnsi="宋体" w:eastAsia="宋体" w:cstheme="minorEastAsia"/>
          <w:b/>
          <w:bCs/>
          <w:sz w:val="24"/>
        </w:rPr>
      </w:pPr>
      <w:r>
        <w:rPr>
          <w:rFonts w:hint="eastAsia" w:ascii="宋体" w:hAnsi="宋体" w:eastAsia="宋体" w:cstheme="minorEastAsia"/>
          <w:b/>
          <w:bCs/>
          <w:sz w:val="24"/>
        </w:rPr>
        <w:t>一、招标人组织开标。</w:t>
      </w:r>
    </w:p>
    <w:p w14:paraId="124B0BC6">
      <w:pPr>
        <w:pStyle w:val="21"/>
        <w:ind w:left="720" w:firstLine="0" w:firstLineChars="0"/>
        <w:rPr>
          <w:rFonts w:hint="default" w:ascii="宋体" w:hAnsi="宋体" w:eastAsia="宋体" w:cstheme="minorEastAsia"/>
          <w:b/>
          <w:bCs/>
          <w:sz w:val="24"/>
          <w:lang w:val="en-US" w:eastAsia="zh-CN"/>
        </w:rPr>
      </w:pPr>
      <w:r>
        <w:rPr>
          <w:rFonts w:hint="eastAsia" w:ascii="宋体" w:hAnsi="宋体" w:eastAsia="宋体" w:cstheme="minorEastAsia"/>
          <w:bCs/>
          <w:sz w:val="24"/>
        </w:rPr>
        <w:t>开标地点为</w:t>
      </w:r>
      <w:r>
        <w:rPr>
          <w:rFonts w:hint="eastAsia" w:ascii="宋体" w:hAnsi="宋体" w:eastAsia="宋体"/>
          <w:kern w:val="0"/>
          <w:sz w:val="24"/>
        </w:rPr>
        <w:t>南通市</w:t>
      </w:r>
      <w:r>
        <w:rPr>
          <w:rFonts w:hint="eastAsia" w:ascii="宋体" w:hAnsi="宋体" w:eastAsia="宋体"/>
          <w:kern w:val="0"/>
          <w:sz w:val="24"/>
          <w:lang w:val="en-US" w:eastAsia="zh-CN"/>
        </w:rPr>
        <w:t>崇川区崇川路85号金石国际大酒店一楼商务中心。</w:t>
      </w:r>
    </w:p>
    <w:p w14:paraId="640F6E10">
      <w:pPr>
        <w:rPr>
          <w:rFonts w:ascii="宋体" w:hAnsi="宋体" w:eastAsia="宋体" w:cstheme="minorEastAsia"/>
          <w:sz w:val="24"/>
        </w:rPr>
      </w:pPr>
      <w:r>
        <w:rPr>
          <w:rFonts w:hint="eastAsia" w:ascii="宋体" w:hAnsi="宋体" w:eastAsia="宋体" w:cstheme="minorEastAsia"/>
          <w:sz w:val="24"/>
        </w:rPr>
        <w:t>二、</w:t>
      </w:r>
      <w:r>
        <w:rPr>
          <w:rFonts w:hint="eastAsia" w:ascii="宋体" w:hAnsi="宋体" w:eastAsia="宋体" w:cstheme="minorEastAsia"/>
          <w:b/>
          <w:bCs/>
          <w:sz w:val="24"/>
        </w:rPr>
        <w:t>评委会由招标人组织，对投标文件进行审查、质疑、评估、比较。评委会按照公平、公正、择优的原则进行独立评标。</w:t>
      </w:r>
    </w:p>
    <w:p w14:paraId="3EFE526D">
      <w:pPr>
        <w:ind w:left="240" w:hanging="240" w:hangingChars="100"/>
        <w:rPr>
          <w:rFonts w:ascii="宋体" w:hAnsi="宋体" w:eastAsia="宋体" w:cstheme="minorEastAsia"/>
          <w:sz w:val="24"/>
        </w:rPr>
      </w:pPr>
      <w:r>
        <w:rPr>
          <w:rFonts w:hint="eastAsia" w:ascii="宋体" w:hAnsi="宋体" w:eastAsia="宋体" w:cstheme="minorEastAsia"/>
          <w:sz w:val="24"/>
        </w:rPr>
        <w:t>（一）评审内容</w:t>
      </w:r>
    </w:p>
    <w:p w14:paraId="3DACE7AE">
      <w:pPr>
        <w:ind w:firstLine="480" w:firstLineChars="200"/>
        <w:rPr>
          <w:rFonts w:ascii="宋体" w:hAnsi="宋体" w:eastAsia="宋体" w:cstheme="minorEastAsia"/>
          <w:sz w:val="24"/>
        </w:rPr>
      </w:pPr>
      <w:r>
        <w:rPr>
          <w:rFonts w:ascii="宋体" w:hAnsi="宋体" w:eastAsia="宋体" w:cstheme="minorEastAsia"/>
          <w:sz w:val="24"/>
        </w:rPr>
        <w:t>1</w:t>
      </w:r>
      <w:r>
        <w:rPr>
          <w:rFonts w:hint="eastAsia" w:ascii="宋体" w:hAnsi="宋体" w:eastAsia="宋体" w:cstheme="minorEastAsia"/>
          <w:sz w:val="24"/>
        </w:rPr>
        <w:t>、是否准时投递标书文件；</w:t>
      </w:r>
    </w:p>
    <w:p w14:paraId="2D40CE03">
      <w:pPr>
        <w:ind w:firstLine="480" w:firstLineChars="200"/>
        <w:rPr>
          <w:rFonts w:ascii="宋体" w:hAnsi="宋体" w:eastAsia="宋体" w:cstheme="minorEastAsia"/>
          <w:sz w:val="24"/>
        </w:rPr>
      </w:pPr>
      <w:r>
        <w:rPr>
          <w:rFonts w:ascii="宋体" w:hAnsi="宋体" w:eastAsia="宋体" w:cstheme="minorEastAsia"/>
          <w:sz w:val="24"/>
        </w:rPr>
        <w:t>2</w:t>
      </w:r>
      <w:r>
        <w:rPr>
          <w:rFonts w:hint="eastAsia" w:ascii="宋体" w:hAnsi="宋体" w:eastAsia="宋体" w:cstheme="minorEastAsia"/>
          <w:sz w:val="24"/>
        </w:rPr>
        <w:t>、投标人资格是否符合招标文件要求；</w:t>
      </w:r>
    </w:p>
    <w:p w14:paraId="2A2C0DBA">
      <w:pPr>
        <w:ind w:firstLine="480" w:firstLineChars="200"/>
        <w:rPr>
          <w:rFonts w:ascii="宋体" w:hAnsi="宋体" w:eastAsia="宋体" w:cstheme="minorEastAsia"/>
          <w:sz w:val="24"/>
        </w:rPr>
      </w:pPr>
      <w:r>
        <w:rPr>
          <w:rFonts w:ascii="宋体" w:hAnsi="宋体" w:eastAsia="宋体" w:cstheme="minorEastAsia"/>
          <w:sz w:val="24"/>
        </w:rPr>
        <w:t>3</w:t>
      </w:r>
      <w:r>
        <w:rPr>
          <w:rFonts w:hint="eastAsia" w:ascii="宋体" w:hAnsi="宋体" w:eastAsia="宋体" w:cstheme="minorEastAsia"/>
          <w:sz w:val="24"/>
        </w:rPr>
        <w:t>、投标文件是否完整；</w:t>
      </w:r>
    </w:p>
    <w:p w14:paraId="77175ABB">
      <w:pPr>
        <w:ind w:firstLine="480" w:firstLineChars="200"/>
        <w:rPr>
          <w:rFonts w:ascii="宋体" w:hAnsi="宋体" w:eastAsia="宋体" w:cstheme="minorEastAsia"/>
          <w:sz w:val="24"/>
        </w:rPr>
      </w:pPr>
      <w:r>
        <w:rPr>
          <w:rFonts w:ascii="宋体" w:hAnsi="宋体" w:eastAsia="宋体" w:cstheme="minorEastAsia"/>
          <w:sz w:val="24"/>
        </w:rPr>
        <w:t>4</w:t>
      </w:r>
      <w:r>
        <w:rPr>
          <w:rFonts w:hint="eastAsia" w:ascii="宋体" w:hAnsi="宋体" w:eastAsia="宋体" w:cstheme="minorEastAsia"/>
          <w:sz w:val="24"/>
        </w:rPr>
        <w:t>、投标文件是否恰当地签署；</w:t>
      </w:r>
    </w:p>
    <w:p w14:paraId="5600A0AF">
      <w:pPr>
        <w:ind w:firstLine="480" w:firstLineChars="200"/>
        <w:rPr>
          <w:rFonts w:ascii="宋体" w:hAnsi="宋体" w:eastAsia="宋体" w:cstheme="minorEastAsia"/>
          <w:sz w:val="24"/>
        </w:rPr>
      </w:pPr>
      <w:r>
        <w:rPr>
          <w:rFonts w:ascii="宋体" w:hAnsi="宋体" w:eastAsia="宋体" w:cstheme="minorEastAsia"/>
          <w:sz w:val="24"/>
        </w:rPr>
        <w:t>5</w:t>
      </w:r>
      <w:r>
        <w:rPr>
          <w:rFonts w:hint="eastAsia" w:ascii="宋体" w:hAnsi="宋体" w:eastAsia="宋体" w:cstheme="minorEastAsia"/>
          <w:sz w:val="24"/>
        </w:rPr>
        <w:t>、是否作出实质性响应（是否有实质性响应，只根据投标文件本身，而不寻求外部证据）；</w:t>
      </w:r>
    </w:p>
    <w:p w14:paraId="71213103">
      <w:pPr>
        <w:ind w:firstLine="480" w:firstLineChars="200"/>
        <w:rPr>
          <w:rFonts w:ascii="宋体" w:hAnsi="宋体" w:eastAsia="宋体" w:cstheme="minorEastAsia"/>
          <w:sz w:val="24"/>
        </w:rPr>
      </w:pPr>
      <w:r>
        <w:rPr>
          <w:rFonts w:ascii="宋体" w:hAnsi="宋体" w:eastAsia="宋体" w:cstheme="minorEastAsia"/>
          <w:sz w:val="24"/>
        </w:rPr>
        <w:t>6</w:t>
      </w:r>
      <w:r>
        <w:rPr>
          <w:rFonts w:hint="eastAsia" w:ascii="宋体" w:hAnsi="宋体" w:eastAsia="宋体" w:cstheme="minorEastAsia"/>
          <w:sz w:val="24"/>
        </w:rPr>
        <w:t>、是否有计算错误。</w:t>
      </w:r>
    </w:p>
    <w:p w14:paraId="21623F52">
      <w:pPr>
        <w:ind w:firstLine="240" w:firstLineChars="100"/>
        <w:rPr>
          <w:rFonts w:ascii="宋体" w:hAnsi="宋体" w:eastAsia="宋体" w:cstheme="minorEastAsia"/>
          <w:sz w:val="24"/>
        </w:rPr>
      </w:pPr>
      <w:r>
        <w:rPr>
          <w:rFonts w:hint="eastAsia" w:ascii="宋体" w:hAnsi="宋体" w:eastAsia="宋体" w:cstheme="minorEastAsia"/>
          <w:sz w:val="24"/>
        </w:rPr>
        <w:t>（二）相应的规定</w:t>
      </w:r>
    </w:p>
    <w:p w14:paraId="5123F0C0">
      <w:pPr>
        <w:ind w:firstLine="480" w:firstLineChars="200"/>
        <w:rPr>
          <w:rFonts w:ascii="宋体" w:hAnsi="宋体" w:eastAsia="宋体" w:cstheme="minorEastAsia"/>
          <w:sz w:val="24"/>
        </w:rPr>
      </w:pPr>
      <w:r>
        <w:rPr>
          <w:rFonts w:ascii="宋体" w:hAnsi="宋体" w:eastAsia="宋体" w:cstheme="minorEastAsia"/>
          <w:sz w:val="24"/>
        </w:rPr>
        <w:t>1、投标文件中开标一览表（报价表）内容与投标文件中相应内容不一致的，以开标一览表（报价表）为准；</w:t>
      </w:r>
    </w:p>
    <w:p w14:paraId="6AD7C5EC">
      <w:pPr>
        <w:ind w:firstLine="480" w:firstLineChars="200"/>
        <w:rPr>
          <w:rFonts w:ascii="宋体" w:hAnsi="宋体" w:eastAsia="宋体" w:cstheme="minorEastAsia"/>
          <w:sz w:val="24"/>
        </w:rPr>
      </w:pPr>
      <w:r>
        <w:rPr>
          <w:rFonts w:ascii="宋体" w:hAnsi="宋体" w:eastAsia="宋体" w:cstheme="minorEastAsia"/>
          <w:sz w:val="24"/>
        </w:rPr>
        <w:t>2、大写金额和小写金额不一致的，以大写金额为准；</w:t>
      </w:r>
    </w:p>
    <w:p w14:paraId="72D0D635">
      <w:pPr>
        <w:ind w:firstLine="480" w:firstLineChars="200"/>
        <w:rPr>
          <w:rFonts w:ascii="宋体" w:hAnsi="宋体" w:eastAsia="宋体" w:cstheme="minorEastAsia"/>
          <w:sz w:val="24"/>
        </w:rPr>
      </w:pPr>
      <w:r>
        <w:rPr>
          <w:rFonts w:ascii="宋体" w:hAnsi="宋体" w:eastAsia="宋体" w:cstheme="minorEastAsia"/>
          <w:sz w:val="24"/>
        </w:rPr>
        <w:t>3、单价金额小数点或者百分比有明显错位的，以开标一览表的总价为准，并修改单价；</w:t>
      </w:r>
    </w:p>
    <w:p w14:paraId="50B6A99C">
      <w:pPr>
        <w:ind w:firstLine="480" w:firstLineChars="200"/>
        <w:rPr>
          <w:rFonts w:ascii="宋体" w:hAnsi="宋体" w:eastAsia="宋体" w:cstheme="minorEastAsia"/>
          <w:sz w:val="24"/>
        </w:rPr>
      </w:pPr>
      <w:r>
        <w:rPr>
          <w:rFonts w:ascii="宋体" w:hAnsi="宋体" w:eastAsia="宋体" w:cstheme="minorEastAsia"/>
          <w:sz w:val="24"/>
        </w:rPr>
        <w:t>4、总价金额与按单价汇总金额不一致的，以单价金额计算结果为准。</w:t>
      </w:r>
    </w:p>
    <w:p w14:paraId="0A95B757">
      <w:pPr>
        <w:rPr>
          <w:rFonts w:ascii="宋体" w:hAnsi="宋体" w:eastAsia="宋体" w:cstheme="minorEastAsia"/>
          <w:sz w:val="24"/>
        </w:rPr>
      </w:pPr>
      <w:r>
        <w:rPr>
          <w:rFonts w:hint="eastAsia" w:ascii="宋体" w:hAnsi="宋体" w:eastAsia="宋体" w:cstheme="minorEastAsia"/>
          <w:sz w:val="24"/>
        </w:rPr>
        <w:t>同时出现两种以上不一致的，按照前款规定的顺序修正。修正后的报价经投标人确认后产生约束力，投标人不确认的，其投标无效。</w:t>
      </w:r>
    </w:p>
    <w:p w14:paraId="2CA74D23">
      <w:pPr>
        <w:rPr>
          <w:rFonts w:ascii="宋体" w:hAnsi="宋体" w:eastAsia="宋体" w:cstheme="minorEastAsia"/>
          <w:b/>
          <w:bCs/>
          <w:sz w:val="24"/>
        </w:rPr>
      </w:pPr>
      <w:r>
        <w:rPr>
          <w:rFonts w:hint="eastAsia" w:ascii="宋体" w:hAnsi="宋体" w:eastAsia="宋体" w:cstheme="minorEastAsia"/>
          <w:b/>
          <w:bCs/>
          <w:sz w:val="24"/>
        </w:rPr>
        <w:t>三、陈述、演示、答疑、澄清</w:t>
      </w:r>
    </w:p>
    <w:p w14:paraId="29470AF6">
      <w:pPr>
        <w:ind w:firstLine="480" w:firstLineChars="200"/>
        <w:rPr>
          <w:rFonts w:ascii="宋体" w:hAnsi="宋体" w:eastAsia="宋体" w:cstheme="minorEastAsia"/>
          <w:sz w:val="24"/>
        </w:rPr>
      </w:pPr>
      <w:r>
        <w:rPr>
          <w:rFonts w:hint="eastAsia" w:ascii="宋体" w:hAnsi="宋体" w:eastAsia="宋体" w:cstheme="minorEastAsia"/>
          <w:sz w:val="24"/>
        </w:rPr>
        <w:t>如评委会认为有必要，投标人按评委会的要求作陈述、演示、答疑及澄清其投标内容。时间由评委会掌握。</w:t>
      </w:r>
    </w:p>
    <w:p w14:paraId="257C51A4">
      <w:pPr>
        <w:ind w:firstLine="480" w:firstLineChars="200"/>
        <w:rPr>
          <w:rFonts w:ascii="宋体" w:hAnsi="宋体" w:eastAsia="宋体" w:cstheme="minorEastAsia"/>
          <w:sz w:val="24"/>
        </w:rPr>
      </w:pPr>
      <w:r>
        <w:rPr>
          <w:rFonts w:hint="eastAsia" w:ascii="宋体" w:hAnsi="宋体" w:eastAsia="宋体" w:cstheme="minorEastAsia"/>
          <w:sz w:val="24"/>
        </w:rPr>
        <w:t>重要澄清答复应是书面的，但不得对投标内容进行实质性修改。</w:t>
      </w:r>
    </w:p>
    <w:p w14:paraId="2D54C4FD">
      <w:pPr>
        <w:rPr>
          <w:rFonts w:ascii="宋体" w:hAnsi="宋体" w:eastAsia="宋体" w:cstheme="minorEastAsia"/>
          <w:b/>
          <w:bCs/>
          <w:sz w:val="24"/>
        </w:rPr>
      </w:pPr>
      <w:r>
        <w:rPr>
          <w:rFonts w:hint="eastAsia" w:ascii="宋体" w:hAnsi="宋体" w:eastAsia="宋体" w:cstheme="minorEastAsia"/>
          <w:b/>
          <w:bCs/>
          <w:sz w:val="24"/>
        </w:rPr>
        <w:t>四、出现下列情形之一的，作无效投标处理：</w:t>
      </w:r>
    </w:p>
    <w:p w14:paraId="2815F188">
      <w:pPr>
        <w:ind w:firstLine="480" w:firstLineChars="200"/>
        <w:rPr>
          <w:rFonts w:ascii="宋体" w:hAnsi="宋体" w:eastAsia="宋体" w:cstheme="minorEastAsia"/>
          <w:sz w:val="24"/>
        </w:rPr>
      </w:pPr>
      <w:r>
        <w:rPr>
          <w:rFonts w:ascii="宋体" w:hAnsi="宋体" w:eastAsia="宋体" w:cstheme="minorEastAsia"/>
          <w:sz w:val="24"/>
        </w:rPr>
        <w:t>1</w:t>
      </w:r>
      <w:r>
        <w:rPr>
          <w:rFonts w:hint="eastAsia" w:ascii="宋体" w:hAnsi="宋体" w:eastAsia="宋体" w:cstheme="minorEastAsia"/>
          <w:sz w:val="24"/>
        </w:rPr>
        <w:t>、未按照招标文件规定要求签署、盖章的；</w:t>
      </w:r>
    </w:p>
    <w:p w14:paraId="6CDFBD27">
      <w:pPr>
        <w:ind w:firstLine="480" w:firstLineChars="200"/>
        <w:rPr>
          <w:rFonts w:ascii="宋体" w:hAnsi="宋体" w:eastAsia="宋体" w:cstheme="minorEastAsia"/>
          <w:sz w:val="24"/>
        </w:rPr>
      </w:pPr>
      <w:r>
        <w:rPr>
          <w:rFonts w:ascii="宋体" w:hAnsi="宋体" w:eastAsia="宋体" w:cstheme="minorEastAsia"/>
          <w:sz w:val="24"/>
        </w:rPr>
        <w:t>2</w:t>
      </w:r>
      <w:r>
        <w:rPr>
          <w:rFonts w:hint="eastAsia" w:ascii="宋体" w:hAnsi="宋体" w:eastAsia="宋体" w:cstheme="minorEastAsia"/>
          <w:sz w:val="24"/>
        </w:rPr>
        <w:t>、未及时投递标书文件的，标书不完整的；</w:t>
      </w:r>
    </w:p>
    <w:p w14:paraId="5E687DB3">
      <w:pPr>
        <w:ind w:firstLine="480" w:firstLineChars="200"/>
        <w:rPr>
          <w:rFonts w:ascii="宋体" w:hAnsi="宋体" w:eastAsia="宋体" w:cstheme="minorEastAsia"/>
          <w:sz w:val="24"/>
        </w:rPr>
      </w:pPr>
      <w:r>
        <w:rPr>
          <w:rFonts w:ascii="宋体" w:hAnsi="宋体" w:eastAsia="宋体" w:cstheme="minorEastAsia"/>
          <w:sz w:val="24"/>
        </w:rPr>
        <w:t>3</w:t>
      </w:r>
      <w:r>
        <w:rPr>
          <w:rFonts w:hint="eastAsia" w:ascii="宋体" w:hAnsi="宋体" w:eastAsia="宋体" w:cstheme="minorEastAsia"/>
          <w:sz w:val="24"/>
        </w:rPr>
        <w:t>、不具备招标文件中规定的资格要求的；</w:t>
      </w:r>
    </w:p>
    <w:p w14:paraId="69AB11AB">
      <w:pPr>
        <w:ind w:firstLine="480" w:firstLineChars="200"/>
        <w:rPr>
          <w:rFonts w:ascii="宋体" w:hAnsi="宋体" w:eastAsia="宋体" w:cstheme="minorEastAsia"/>
          <w:sz w:val="24"/>
        </w:rPr>
      </w:pPr>
      <w:r>
        <w:rPr>
          <w:rFonts w:ascii="宋体" w:hAnsi="宋体" w:eastAsia="宋体" w:cstheme="minorEastAsia"/>
          <w:sz w:val="24"/>
        </w:rPr>
        <w:t>4</w:t>
      </w:r>
      <w:r>
        <w:rPr>
          <w:rFonts w:hint="eastAsia" w:ascii="宋体" w:hAnsi="宋体" w:eastAsia="宋体" w:cstheme="minorEastAsia"/>
          <w:sz w:val="24"/>
        </w:rPr>
        <w:t>、提供的样品不符合暗标要求的（如有）；</w:t>
      </w:r>
    </w:p>
    <w:p w14:paraId="62D1BE90">
      <w:pPr>
        <w:ind w:firstLine="480" w:firstLineChars="200"/>
        <w:rPr>
          <w:rFonts w:ascii="宋体" w:hAnsi="宋体" w:eastAsia="宋体" w:cstheme="minorEastAsia"/>
          <w:sz w:val="24"/>
        </w:rPr>
      </w:pPr>
      <w:r>
        <w:rPr>
          <w:rFonts w:ascii="宋体" w:hAnsi="宋体" w:eastAsia="宋体" w:cstheme="minorEastAsia"/>
          <w:sz w:val="24"/>
        </w:rPr>
        <w:t>5</w:t>
      </w:r>
      <w:r>
        <w:rPr>
          <w:rFonts w:hint="eastAsia" w:ascii="宋体" w:hAnsi="宋体" w:eastAsia="宋体" w:cstheme="minorEastAsia"/>
          <w:sz w:val="24"/>
        </w:rPr>
        <w:t>、投标人未提供样品或样品提供不全或经评标委员为一致认定样品不合格或不符合要求的（如有）；</w:t>
      </w:r>
    </w:p>
    <w:p w14:paraId="2388744E">
      <w:pPr>
        <w:ind w:firstLine="480" w:firstLineChars="200"/>
        <w:rPr>
          <w:rFonts w:ascii="宋体" w:hAnsi="宋体" w:eastAsia="宋体" w:cstheme="minorEastAsia"/>
          <w:sz w:val="24"/>
        </w:rPr>
      </w:pPr>
      <w:r>
        <w:rPr>
          <w:rFonts w:ascii="宋体" w:hAnsi="宋体" w:eastAsia="宋体" w:cstheme="minorEastAsia"/>
          <w:sz w:val="24"/>
        </w:rPr>
        <w:t>6</w:t>
      </w:r>
      <w:r>
        <w:rPr>
          <w:rFonts w:hint="eastAsia" w:ascii="宋体" w:hAnsi="宋体" w:eastAsia="宋体" w:cstheme="minorEastAsia"/>
          <w:sz w:val="24"/>
        </w:rPr>
        <w:t>、报价超过招标文件中规定的预算金额或者最高投标限价的或被认定为低于成本报价竞标的；</w:t>
      </w:r>
    </w:p>
    <w:p w14:paraId="44E28D95">
      <w:pPr>
        <w:ind w:firstLine="480" w:firstLineChars="200"/>
        <w:rPr>
          <w:rFonts w:ascii="宋体" w:hAnsi="宋体" w:eastAsia="宋体" w:cstheme="minorEastAsia"/>
          <w:sz w:val="24"/>
        </w:rPr>
      </w:pPr>
      <w:r>
        <w:rPr>
          <w:rFonts w:ascii="宋体" w:hAnsi="宋体" w:eastAsia="宋体" w:cstheme="minorEastAsia"/>
          <w:sz w:val="24"/>
        </w:rPr>
        <w:t>7</w:t>
      </w:r>
      <w:r>
        <w:rPr>
          <w:rFonts w:hint="eastAsia" w:ascii="宋体" w:hAnsi="宋体" w:eastAsia="宋体" w:cstheme="minorEastAsia"/>
          <w:sz w:val="24"/>
        </w:rPr>
        <w:t>、投标文件含有采购人不能接受的附加条件的；</w:t>
      </w:r>
    </w:p>
    <w:p w14:paraId="425E5E47">
      <w:pPr>
        <w:ind w:firstLine="480" w:firstLineChars="200"/>
        <w:rPr>
          <w:rFonts w:ascii="宋体" w:hAnsi="宋体" w:eastAsia="宋体" w:cstheme="minorEastAsia"/>
          <w:sz w:val="24"/>
        </w:rPr>
      </w:pPr>
      <w:r>
        <w:rPr>
          <w:rFonts w:ascii="宋体" w:hAnsi="宋体" w:eastAsia="宋体" w:cstheme="minorEastAsia"/>
          <w:sz w:val="24"/>
        </w:rPr>
        <w:t>8</w:t>
      </w:r>
      <w:r>
        <w:rPr>
          <w:rFonts w:hint="eastAsia" w:ascii="宋体" w:hAnsi="宋体" w:eastAsia="宋体" w:cstheme="minorEastAsia"/>
          <w:sz w:val="24"/>
        </w:rPr>
        <w:t>、分项报价表中的阴影区域进行改动的；</w:t>
      </w:r>
    </w:p>
    <w:p w14:paraId="395398C5">
      <w:pPr>
        <w:ind w:firstLine="480" w:firstLineChars="200"/>
        <w:rPr>
          <w:rFonts w:ascii="宋体" w:hAnsi="宋体" w:eastAsia="宋体" w:cstheme="minorEastAsia"/>
          <w:sz w:val="24"/>
        </w:rPr>
      </w:pPr>
      <w:r>
        <w:rPr>
          <w:rFonts w:ascii="宋体" w:hAnsi="宋体" w:eastAsia="宋体" w:cstheme="minorEastAsia"/>
          <w:sz w:val="24"/>
        </w:rPr>
        <w:t>9</w:t>
      </w:r>
      <w:r>
        <w:rPr>
          <w:rFonts w:hint="eastAsia" w:ascii="宋体" w:hAnsi="宋体" w:eastAsia="宋体" w:cstheme="minorEastAsia"/>
          <w:sz w:val="24"/>
        </w:rPr>
        <w:t>、不符合法律、法规和招标文件中规定的其他实质性要求；</w:t>
      </w:r>
    </w:p>
    <w:p w14:paraId="57188246">
      <w:pPr>
        <w:ind w:firstLine="480" w:firstLineChars="200"/>
        <w:rPr>
          <w:rFonts w:ascii="宋体" w:hAnsi="宋体" w:eastAsia="宋体" w:cstheme="minorEastAsia"/>
          <w:sz w:val="24"/>
        </w:rPr>
      </w:pPr>
      <w:r>
        <w:rPr>
          <w:rFonts w:hint="eastAsia" w:ascii="宋体" w:hAnsi="宋体" w:eastAsia="宋体" w:cstheme="minorEastAsia"/>
          <w:sz w:val="24"/>
        </w:rPr>
        <w:t>1</w:t>
      </w:r>
      <w:r>
        <w:rPr>
          <w:rFonts w:ascii="宋体" w:hAnsi="宋体" w:eastAsia="宋体" w:cstheme="minorEastAsia"/>
          <w:sz w:val="24"/>
        </w:rPr>
        <w:t>0</w:t>
      </w:r>
      <w:r>
        <w:rPr>
          <w:rFonts w:hint="eastAsia" w:ascii="宋体" w:hAnsi="宋体" w:eastAsia="宋体" w:cstheme="minorEastAsia"/>
          <w:sz w:val="24"/>
        </w:rPr>
        <w:t>、评标委员会依据法律法规可以认定为无效投标的其他情况。</w:t>
      </w:r>
    </w:p>
    <w:p w14:paraId="624AA6EC">
      <w:pPr>
        <w:rPr>
          <w:rFonts w:ascii="宋体" w:hAnsi="宋体" w:eastAsia="宋体" w:cstheme="minorEastAsia"/>
          <w:b/>
          <w:bCs/>
          <w:sz w:val="24"/>
        </w:rPr>
      </w:pPr>
      <w:r>
        <w:rPr>
          <w:rFonts w:hint="eastAsia" w:ascii="宋体" w:hAnsi="宋体" w:eastAsia="宋体" w:cstheme="minorEastAsia"/>
          <w:b/>
          <w:bCs/>
          <w:sz w:val="24"/>
        </w:rPr>
        <w:t>五、有下列情形之一的，视为投标人串通投标，其投标无效：</w:t>
      </w:r>
    </w:p>
    <w:p w14:paraId="64F2905C">
      <w:pPr>
        <w:ind w:firstLine="480" w:firstLineChars="200"/>
        <w:rPr>
          <w:rFonts w:ascii="宋体" w:hAnsi="宋体" w:eastAsia="宋体" w:cstheme="minorEastAsia"/>
          <w:sz w:val="24"/>
        </w:rPr>
      </w:pPr>
      <w:r>
        <w:rPr>
          <w:rFonts w:ascii="宋体" w:hAnsi="宋体" w:eastAsia="宋体" w:cstheme="minorEastAsia"/>
          <w:sz w:val="24"/>
        </w:rPr>
        <w:t>1、投标文件未按招标文件要求密封、签署、盖章及主要资料不齐全；</w:t>
      </w:r>
    </w:p>
    <w:p w14:paraId="48991773">
      <w:pPr>
        <w:ind w:firstLine="480" w:firstLineChars="200"/>
        <w:rPr>
          <w:rFonts w:ascii="宋体" w:hAnsi="宋体" w:eastAsia="宋体" w:cstheme="minorEastAsia"/>
          <w:sz w:val="24"/>
        </w:rPr>
      </w:pPr>
      <w:r>
        <w:rPr>
          <w:rFonts w:ascii="宋体" w:hAnsi="宋体" w:eastAsia="宋体" w:cstheme="minorEastAsia"/>
          <w:sz w:val="24"/>
        </w:rPr>
        <w:t>2、不具备招标文件中规定的资格要求的；</w:t>
      </w:r>
    </w:p>
    <w:p w14:paraId="1E5ACCAC">
      <w:pPr>
        <w:ind w:firstLine="480" w:firstLineChars="200"/>
        <w:rPr>
          <w:rFonts w:ascii="宋体" w:hAnsi="宋体" w:eastAsia="宋体" w:cstheme="minorEastAsia"/>
          <w:sz w:val="24"/>
        </w:rPr>
      </w:pPr>
      <w:r>
        <w:rPr>
          <w:rFonts w:hint="eastAsia" w:ascii="宋体" w:hAnsi="宋体" w:eastAsia="宋体" w:cstheme="minorEastAsia"/>
          <w:sz w:val="24"/>
          <w:lang w:val="en-US" w:eastAsia="zh-CN"/>
        </w:rPr>
        <w:t>3</w:t>
      </w:r>
      <w:r>
        <w:rPr>
          <w:rFonts w:ascii="宋体" w:hAnsi="宋体" w:eastAsia="宋体" w:cstheme="minorEastAsia"/>
          <w:sz w:val="24"/>
        </w:rPr>
        <w:t>、报价超过招标文件中规定的预算金额或者最高限价的；</w:t>
      </w:r>
    </w:p>
    <w:p w14:paraId="1C6AA5D9">
      <w:pPr>
        <w:ind w:firstLine="480" w:firstLineChars="200"/>
        <w:rPr>
          <w:rFonts w:ascii="宋体" w:hAnsi="宋体" w:eastAsia="宋体" w:cstheme="minorEastAsia"/>
          <w:sz w:val="24"/>
        </w:rPr>
      </w:pPr>
      <w:r>
        <w:rPr>
          <w:rFonts w:hint="eastAsia" w:ascii="宋体" w:hAnsi="宋体" w:eastAsia="宋体" w:cstheme="minorEastAsia"/>
          <w:sz w:val="24"/>
          <w:lang w:val="en-US" w:eastAsia="zh-CN"/>
        </w:rPr>
        <w:t>4</w:t>
      </w:r>
      <w:r>
        <w:rPr>
          <w:rFonts w:ascii="宋体" w:hAnsi="宋体" w:eastAsia="宋体" w:cstheme="minorEastAsia"/>
          <w:sz w:val="24"/>
        </w:rPr>
        <w:t>、同一投标人提交两个（含两个）以上不同的投标报价的；</w:t>
      </w:r>
    </w:p>
    <w:p w14:paraId="4269349F">
      <w:pPr>
        <w:ind w:firstLine="480" w:firstLineChars="200"/>
        <w:rPr>
          <w:rFonts w:ascii="宋体" w:hAnsi="宋体" w:eastAsia="宋体" w:cstheme="minorEastAsia"/>
          <w:sz w:val="24"/>
        </w:rPr>
      </w:pPr>
      <w:r>
        <w:rPr>
          <w:rFonts w:hint="eastAsia" w:ascii="宋体" w:hAnsi="宋体" w:eastAsia="宋体" w:cstheme="minorEastAsia"/>
          <w:sz w:val="24"/>
          <w:lang w:val="en-US" w:eastAsia="zh-CN"/>
        </w:rPr>
        <w:t>5</w:t>
      </w:r>
      <w:r>
        <w:rPr>
          <w:rFonts w:ascii="宋体" w:hAnsi="宋体" w:eastAsia="宋体" w:cstheme="minorEastAsia"/>
          <w:sz w:val="24"/>
        </w:rPr>
        <w:t>、报价文件出现在其他投标文件中的；</w:t>
      </w:r>
    </w:p>
    <w:p w14:paraId="591499D7">
      <w:pPr>
        <w:ind w:firstLine="480" w:firstLineChars="200"/>
        <w:rPr>
          <w:rFonts w:ascii="宋体" w:hAnsi="宋体" w:eastAsia="宋体" w:cstheme="minorEastAsia"/>
          <w:sz w:val="24"/>
        </w:rPr>
      </w:pPr>
      <w:r>
        <w:rPr>
          <w:rFonts w:hint="eastAsia" w:ascii="宋体" w:hAnsi="宋体" w:eastAsia="宋体" w:cstheme="minorEastAsia"/>
          <w:sz w:val="24"/>
          <w:lang w:val="en-US" w:eastAsia="zh-CN"/>
        </w:rPr>
        <w:t>6</w:t>
      </w:r>
      <w:r>
        <w:rPr>
          <w:rFonts w:ascii="宋体" w:hAnsi="宋体" w:eastAsia="宋体" w:cstheme="minorEastAsia"/>
          <w:sz w:val="24"/>
        </w:rPr>
        <w:t>、投标文件含有采购人不能接受的附加条件的；</w:t>
      </w:r>
    </w:p>
    <w:p w14:paraId="065EC465">
      <w:pPr>
        <w:ind w:firstLine="480" w:firstLineChars="200"/>
        <w:rPr>
          <w:rFonts w:ascii="宋体" w:hAnsi="宋体" w:eastAsia="宋体" w:cstheme="minorEastAsia"/>
          <w:sz w:val="24"/>
        </w:rPr>
      </w:pPr>
      <w:r>
        <w:rPr>
          <w:rFonts w:hint="eastAsia" w:ascii="宋体" w:hAnsi="宋体" w:eastAsia="宋体" w:cstheme="minorEastAsia"/>
          <w:sz w:val="24"/>
          <w:lang w:val="en-US" w:eastAsia="zh-CN"/>
        </w:rPr>
        <w:t>7</w:t>
      </w:r>
      <w:r>
        <w:rPr>
          <w:rFonts w:ascii="宋体" w:hAnsi="宋体" w:eastAsia="宋体" w:cstheme="minorEastAsia"/>
          <w:sz w:val="24"/>
        </w:rPr>
        <w:t>、不符合招标文件中规定的其他实质性要求和条件的；</w:t>
      </w:r>
    </w:p>
    <w:p w14:paraId="4A0CD9E9">
      <w:pPr>
        <w:ind w:firstLine="480" w:firstLineChars="200"/>
        <w:rPr>
          <w:rFonts w:ascii="宋体" w:hAnsi="宋体" w:eastAsia="宋体" w:cstheme="minorEastAsia"/>
          <w:sz w:val="24"/>
        </w:rPr>
      </w:pPr>
      <w:r>
        <w:rPr>
          <w:rFonts w:hint="eastAsia" w:ascii="宋体" w:hAnsi="宋体" w:eastAsia="宋体" w:cstheme="minorEastAsia"/>
          <w:sz w:val="24"/>
          <w:lang w:val="en-US" w:eastAsia="zh-CN"/>
        </w:rPr>
        <w:t>8</w:t>
      </w:r>
      <w:r>
        <w:rPr>
          <w:rFonts w:ascii="宋体" w:hAnsi="宋体" w:eastAsia="宋体" w:cstheme="minorEastAsia"/>
          <w:sz w:val="24"/>
        </w:rPr>
        <w:t>、评标委员会认为投标人的报价明显低于其他通过</w:t>
      </w:r>
      <w:r>
        <w:rPr>
          <w:rFonts w:hint="eastAsia" w:ascii="宋体" w:hAnsi="宋体" w:eastAsia="宋体" w:cstheme="minorEastAsia"/>
          <w:sz w:val="24"/>
          <w:lang w:val="en-US" w:eastAsia="zh-CN"/>
        </w:rPr>
        <w:t>资格</w:t>
      </w:r>
      <w:r>
        <w:rPr>
          <w:rFonts w:ascii="宋体" w:hAnsi="宋体" w:eastAsia="宋体" w:cstheme="minorEastAsia"/>
          <w:sz w:val="24"/>
        </w:rPr>
        <w:t>审查投标人的报价，有可能影响产品质量或者不能诚信履约的，要求其在合理的时间内提供说明，必要时提交相关证明材料；投标人不能证明其报价合理性的，评标委员会应当将其作为无效投标处理；</w:t>
      </w:r>
    </w:p>
    <w:p w14:paraId="6A10AE29">
      <w:pPr>
        <w:ind w:firstLine="480" w:firstLineChars="200"/>
        <w:rPr>
          <w:rFonts w:ascii="宋体" w:hAnsi="宋体" w:eastAsia="宋体" w:cstheme="minorEastAsia"/>
          <w:sz w:val="24"/>
        </w:rPr>
      </w:pPr>
      <w:r>
        <w:rPr>
          <w:rFonts w:hint="eastAsia" w:ascii="宋体" w:hAnsi="宋体" w:eastAsia="宋体" w:cstheme="minorEastAsia"/>
          <w:sz w:val="24"/>
          <w:lang w:val="en-US" w:eastAsia="zh-CN"/>
        </w:rPr>
        <w:t>9</w:t>
      </w:r>
      <w:r>
        <w:rPr>
          <w:rFonts w:ascii="宋体" w:hAnsi="宋体" w:eastAsia="宋体" w:cstheme="minorEastAsia"/>
          <w:sz w:val="24"/>
        </w:rPr>
        <w:t>、投标人被 “信用中国”网站列入失信被执行人或重大税收违法案件当事人名单或政府采购严重失信行为记录名单。</w:t>
      </w:r>
    </w:p>
    <w:p w14:paraId="1CF65807">
      <w:pPr>
        <w:ind w:firstLine="480" w:firstLineChars="200"/>
        <w:rPr>
          <w:rFonts w:ascii="宋体" w:hAnsi="宋体" w:eastAsia="宋体" w:cstheme="minorEastAsia"/>
          <w:sz w:val="24"/>
        </w:rPr>
      </w:pPr>
      <w:r>
        <w:rPr>
          <w:rFonts w:ascii="宋体" w:hAnsi="宋体" w:eastAsia="宋体" w:cstheme="minorEastAsia"/>
          <w:sz w:val="24"/>
        </w:rPr>
        <w:t>1</w:t>
      </w:r>
      <w:r>
        <w:rPr>
          <w:rFonts w:hint="eastAsia" w:ascii="宋体" w:hAnsi="宋体" w:eastAsia="宋体" w:cstheme="minorEastAsia"/>
          <w:sz w:val="24"/>
          <w:lang w:val="en-US" w:eastAsia="zh-CN"/>
        </w:rPr>
        <w:t>0</w:t>
      </w:r>
      <w:r>
        <w:rPr>
          <w:rFonts w:ascii="宋体" w:hAnsi="宋体" w:eastAsia="宋体" w:cstheme="minorEastAsia"/>
          <w:sz w:val="24"/>
        </w:rPr>
        <w:t>、其他法律、法规及本招标文件规定的属无效投标的情形。</w:t>
      </w:r>
    </w:p>
    <w:p w14:paraId="319BC50F">
      <w:pPr>
        <w:ind w:firstLine="480" w:firstLineChars="200"/>
        <w:rPr>
          <w:rFonts w:ascii="宋体" w:hAnsi="宋体" w:eastAsia="宋体" w:cstheme="minorEastAsia"/>
          <w:sz w:val="24"/>
        </w:rPr>
      </w:pPr>
      <w:r>
        <w:rPr>
          <w:rFonts w:ascii="宋体" w:hAnsi="宋体" w:eastAsia="宋体" w:cstheme="minorEastAsia"/>
          <w:sz w:val="24"/>
        </w:rPr>
        <w:t>1</w:t>
      </w:r>
      <w:r>
        <w:rPr>
          <w:rFonts w:hint="eastAsia" w:ascii="宋体" w:hAnsi="宋体" w:eastAsia="宋体" w:cstheme="minorEastAsia"/>
          <w:sz w:val="24"/>
          <w:lang w:val="en-US" w:eastAsia="zh-CN"/>
        </w:rPr>
        <w:t>1</w:t>
      </w:r>
      <w:r>
        <w:rPr>
          <w:rFonts w:ascii="宋体" w:hAnsi="宋体" w:eastAsia="宋体" w:cstheme="minorEastAsia"/>
          <w:sz w:val="24"/>
        </w:rPr>
        <w:t>、同一投标供应商的不同投标文件（资格审查文件、商务</w:t>
      </w:r>
      <w:r>
        <w:rPr>
          <w:rFonts w:hint="eastAsia" w:ascii="宋体" w:hAnsi="宋体" w:eastAsia="宋体" w:cstheme="minorEastAsia"/>
          <w:sz w:val="24"/>
          <w:lang w:val="en-US" w:eastAsia="zh-CN"/>
        </w:rPr>
        <w:t>标</w:t>
      </w:r>
      <w:r>
        <w:rPr>
          <w:rFonts w:ascii="宋体" w:hAnsi="宋体" w:eastAsia="宋体" w:cstheme="minorEastAsia"/>
          <w:sz w:val="24"/>
        </w:rPr>
        <w:t>文件）相互混装的。</w:t>
      </w:r>
    </w:p>
    <w:p w14:paraId="3FE392FC">
      <w:pPr>
        <w:rPr>
          <w:rFonts w:ascii="宋体" w:hAnsi="宋体" w:eastAsia="宋体" w:cstheme="minorEastAsia"/>
          <w:b/>
          <w:bCs/>
          <w:sz w:val="24"/>
        </w:rPr>
      </w:pPr>
      <w:r>
        <w:rPr>
          <w:rFonts w:hint="eastAsia" w:ascii="宋体" w:hAnsi="宋体" w:eastAsia="宋体" w:cstheme="minorEastAsia"/>
          <w:b/>
          <w:bCs/>
          <w:sz w:val="24"/>
        </w:rPr>
        <w:t>六、出现下列情形之一的，作废标处理</w:t>
      </w:r>
    </w:p>
    <w:p w14:paraId="188AB2C7">
      <w:pPr>
        <w:ind w:firstLine="480" w:firstLineChars="200"/>
        <w:rPr>
          <w:rFonts w:ascii="宋体" w:hAnsi="宋体" w:eastAsia="宋体" w:cstheme="minorEastAsia"/>
          <w:sz w:val="24"/>
        </w:rPr>
      </w:pPr>
      <w:r>
        <w:rPr>
          <w:rFonts w:ascii="宋体" w:hAnsi="宋体" w:eastAsia="宋体" w:cstheme="minorEastAsia"/>
          <w:sz w:val="24"/>
        </w:rPr>
        <w:t>1、符合专业条件的投标人或者对招标文件作实质响应的投标人不足3家的；</w:t>
      </w:r>
    </w:p>
    <w:p w14:paraId="1BF93EFB">
      <w:pPr>
        <w:ind w:firstLine="480" w:firstLineChars="200"/>
        <w:rPr>
          <w:rFonts w:ascii="宋体" w:hAnsi="宋体" w:eastAsia="宋体" w:cstheme="minorEastAsia"/>
          <w:sz w:val="24"/>
        </w:rPr>
      </w:pPr>
      <w:r>
        <w:rPr>
          <w:rFonts w:ascii="宋体" w:hAnsi="宋体" w:eastAsia="宋体" w:cstheme="minorEastAsia"/>
          <w:sz w:val="24"/>
        </w:rPr>
        <w:t>2、出现影响采购公正的违法违规行为的；</w:t>
      </w:r>
    </w:p>
    <w:p w14:paraId="43F1EFFC">
      <w:pPr>
        <w:ind w:firstLine="480" w:firstLineChars="200"/>
        <w:rPr>
          <w:rFonts w:ascii="宋体" w:hAnsi="宋体" w:eastAsia="宋体" w:cstheme="minorEastAsia"/>
          <w:sz w:val="24"/>
        </w:rPr>
      </w:pPr>
      <w:r>
        <w:rPr>
          <w:rFonts w:ascii="宋体" w:hAnsi="宋体" w:eastAsia="宋体" w:cstheme="minorEastAsia"/>
          <w:sz w:val="24"/>
        </w:rPr>
        <w:t>3、投标人的报价均超过了采购预算，采购人不能支付的；</w:t>
      </w:r>
    </w:p>
    <w:p w14:paraId="3390775B">
      <w:pPr>
        <w:ind w:firstLine="480" w:firstLineChars="200"/>
        <w:rPr>
          <w:rFonts w:ascii="宋体" w:hAnsi="宋体" w:eastAsia="宋体" w:cstheme="minorEastAsia"/>
          <w:sz w:val="24"/>
        </w:rPr>
      </w:pPr>
      <w:r>
        <w:rPr>
          <w:rFonts w:ascii="宋体" w:hAnsi="宋体" w:eastAsia="宋体" w:cstheme="minorEastAsia"/>
          <w:sz w:val="24"/>
        </w:rPr>
        <w:t>4、评标委员会认定招标文件存在歧义、重大缺陷导致评审工作无法进行</w:t>
      </w:r>
    </w:p>
    <w:p w14:paraId="483FAB9C">
      <w:pPr>
        <w:ind w:firstLine="480" w:firstLineChars="200"/>
        <w:rPr>
          <w:rFonts w:ascii="宋体" w:hAnsi="宋体" w:eastAsia="宋体" w:cstheme="minorEastAsia"/>
          <w:sz w:val="24"/>
        </w:rPr>
      </w:pPr>
      <w:r>
        <w:rPr>
          <w:rFonts w:ascii="宋体" w:hAnsi="宋体" w:eastAsia="宋体" w:cstheme="minorEastAsia"/>
          <w:sz w:val="24"/>
        </w:rPr>
        <w:t>5、因重大变故，采购任务取消的。</w:t>
      </w:r>
    </w:p>
    <w:p w14:paraId="4DA7596F">
      <w:pPr>
        <w:ind w:firstLine="480" w:firstLineChars="200"/>
        <w:rPr>
          <w:rFonts w:ascii="宋体" w:hAnsi="宋体" w:eastAsia="宋体" w:cstheme="minorEastAsia"/>
          <w:sz w:val="24"/>
        </w:rPr>
      </w:pPr>
      <w:r>
        <w:rPr>
          <w:rFonts w:hint="eastAsia" w:ascii="宋体" w:hAnsi="宋体" w:eastAsia="宋体" w:cstheme="minorEastAsia"/>
          <w:sz w:val="24"/>
        </w:rPr>
        <w:t>上述均保留评委会认定可以确定为无效投标或废标的其他情况。</w:t>
      </w:r>
    </w:p>
    <w:p w14:paraId="281EE865">
      <w:pPr>
        <w:rPr>
          <w:rFonts w:ascii="宋体" w:hAnsi="宋体" w:eastAsia="宋体" w:cstheme="minorEastAsia"/>
          <w:b/>
          <w:bCs/>
          <w:sz w:val="24"/>
        </w:rPr>
      </w:pPr>
      <w:r>
        <w:rPr>
          <w:rFonts w:hint="eastAsia" w:ascii="宋体" w:hAnsi="宋体" w:eastAsia="宋体" w:cstheme="minorEastAsia"/>
          <w:b/>
          <w:bCs/>
          <w:sz w:val="24"/>
        </w:rPr>
        <w:t>七、变更为其他方式采购的情形</w:t>
      </w:r>
    </w:p>
    <w:p w14:paraId="44C621D7">
      <w:pPr>
        <w:adjustRightInd w:val="0"/>
        <w:snapToGrid w:val="0"/>
        <w:ind w:firstLine="480" w:firstLineChars="200"/>
        <w:rPr>
          <w:rFonts w:ascii="宋体" w:hAnsi="宋体" w:eastAsia="宋体" w:cstheme="minorEastAsia"/>
          <w:sz w:val="24"/>
        </w:rPr>
      </w:pPr>
      <w:r>
        <w:rPr>
          <w:rFonts w:hint="eastAsia" w:ascii="宋体" w:hAnsi="宋体" w:eastAsia="宋体" w:cstheme="minorEastAsia"/>
          <w:sz w:val="24"/>
        </w:rPr>
        <w:t>投标截止时间出现：参加投标的供应商不足</w:t>
      </w:r>
      <w:r>
        <w:rPr>
          <w:rFonts w:ascii="宋体" w:hAnsi="宋体" w:eastAsia="宋体" w:cstheme="minorEastAsia"/>
          <w:sz w:val="24"/>
        </w:rPr>
        <w:t>3家的，及评标中出现符合专业条件的供应商或对招标文件作实质响应的投标人不足3家如下情形时，除采购任务取消外，采购人报告主管部门，视情采取其他方式采购。本次招标文件中对供应商资质、技术等要求，将作为其他方式采购的基本要求和依据。原已经参加投标并符合要求的供应商，根据自愿原则，参加其他方式采购。</w:t>
      </w:r>
    </w:p>
    <w:p w14:paraId="000D02F6">
      <w:pPr>
        <w:adjustRightInd w:val="0"/>
        <w:snapToGrid w:val="0"/>
        <w:rPr>
          <w:rFonts w:ascii="宋体" w:hAnsi="宋体" w:eastAsia="宋体" w:cs="宋体"/>
          <w:b/>
          <w:sz w:val="24"/>
        </w:rPr>
      </w:pPr>
      <w:r>
        <w:rPr>
          <w:rFonts w:hint="eastAsia" w:ascii="宋体" w:hAnsi="宋体" w:eastAsia="宋体" w:cs="宋体"/>
          <w:b/>
          <w:sz w:val="24"/>
        </w:rPr>
        <w:t>八、评标方法</w:t>
      </w:r>
    </w:p>
    <w:p w14:paraId="0E374048">
      <w:pPr>
        <w:adjustRightInd w:val="0"/>
        <w:snapToGrid w:val="0"/>
        <w:ind w:firstLine="480" w:firstLineChars="200"/>
        <w:rPr>
          <w:rFonts w:ascii="宋体" w:hAnsi="宋体" w:eastAsia="宋体" w:cs="宋体"/>
          <w:sz w:val="24"/>
        </w:rPr>
      </w:pPr>
      <w:r>
        <w:rPr>
          <w:rFonts w:hint="eastAsia" w:ascii="宋体" w:hAnsi="宋体" w:eastAsia="宋体" w:cs="宋体"/>
          <w:sz w:val="24"/>
        </w:rPr>
        <w:t>本项目采用价格单因素。</w:t>
      </w:r>
    </w:p>
    <w:p w14:paraId="78A9C460">
      <w:pPr>
        <w:adjustRightInd w:val="0"/>
        <w:snapToGrid w:val="0"/>
        <w:ind w:firstLine="480" w:firstLineChars="200"/>
        <w:rPr>
          <w:rFonts w:ascii="宋体" w:hAnsi="宋体" w:eastAsia="宋体" w:cs="宋体"/>
          <w:sz w:val="24"/>
        </w:rPr>
      </w:pPr>
      <w:r>
        <w:rPr>
          <w:rFonts w:hint="eastAsia" w:ascii="宋体" w:hAnsi="宋体" w:eastAsia="宋体" w:cs="宋体"/>
          <w:sz w:val="24"/>
        </w:rPr>
        <w:t>评标流程：</w:t>
      </w:r>
      <w:r>
        <w:rPr>
          <w:rFonts w:hint="eastAsia" w:ascii="宋体" w:hAnsi="宋体" w:eastAsia="宋体" w:cs="宋体"/>
          <w:sz w:val="24"/>
          <w:lang w:val="en-US" w:eastAsia="zh-CN"/>
        </w:rPr>
        <w:t>资格审查</w:t>
      </w:r>
      <w:r>
        <w:rPr>
          <w:rFonts w:hint="eastAsia" w:ascii="宋体" w:hAnsi="宋体" w:eastAsia="宋体" w:cs="宋体"/>
          <w:sz w:val="24"/>
        </w:rPr>
        <w:t>→评审商务标→确定中标候选人。</w:t>
      </w:r>
    </w:p>
    <w:p w14:paraId="23DF838B">
      <w:pPr>
        <w:adjustRightInd w:val="0"/>
        <w:snapToGrid w:val="0"/>
        <w:rPr>
          <w:rFonts w:ascii="宋体" w:hAnsi="宋体" w:eastAsia="宋体" w:cs="宋体"/>
          <w:sz w:val="24"/>
        </w:rPr>
      </w:pPr>
      <w:r>
        <w:rPr>
          <w:rFonts w:hint="eastAsia" w:ascii="宋体" w:hAnsi="宋体" w:eastAsia="宋体" w:cs="宋体"/>
          <w:sz w:val="24"/>
        </w:rPr>
        <w:t>备注：</w:t>
      </w:r>
    </w:p>
    <w:p w14:paraId="50C625B7">
      <w:pPr>
        <w:adjustRightInd w:val="0"/>
        <w:snapToGrid w:val="0"/>
        <w:ind w:firstLine="240" w:firstLineChars="100"/>
        <w:rPr>
          <w:rFonts w:ascii="宋体" w:hAnsi="宋体" w:eastAsia="宋体" w:cs="宋体"/>
          <w:sz w:val="24"/>
        </w:rPr>
      </w:pPr>
      <w:r>
        <w:rPr>
          <w:rFonts w:ascii="宋体" w:hAnsi="宋体" w:eastAsia="宋体" w:cs="宋体"/>
          <w:sz w:val="24"/>
        </w:rPr>
        <w:t>（一）在评标过程中，评标委员会认为投标人的报价明显低于其他通过</w:t>
      </w:r>
      <w:r>
        <w:rPr>
          <w:rFonts w:hint="eastAsia" w:ascii="宋体" w:hAnsi="宋体" w:eastAsia="宋体" w:cs="宋体"/>
          <w:sz w:val="24"/>
          <w:lang w:val="en-US" w:eastAsia="zh-CN"/>
        </w:rPr>
        <w:t>资格</w:t>
      </w:r>
      <w:r>
        <w:rPr>
          <w:rFonts w:ascii="宋体" w:hAnsi="宋体" w:eastAsia="宋体" w:cs="宋体"/>
          <w:sz w:val="24"/>
        </w:rPr>
        <w:t>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CA1BC7D">
      <w:pPr>
        <w:adjustRightInd w:val="0"/>
        <w:snapToGrid w:val="0"/>
        <w:ind w:firstLine="240" w:firstLineChars="100"/>
        <w:rPr>
          <w:rFonts w:ascii="宋体" w:hAnsi="宋体" w:eastAsia="宋体" w:cs="宋体"/>
          <w:sz w:val="24"/>
        </w:rPr>
      </w:pPr>
      <w:r>
        <w:rPr>
          <w:rFonts w:hint="eastAsia" w:ascii="宋体" w:hAnsi="宋体" w:eastAsia="宋体" w:cs="宋体"/>
          <w:sz w:val="24"/>
        </w:rPr>
        <w:t>（二）评标时评委对评标细则若有争议，由评标委员会评委集体讨论确定，并对未尽情况有最终解释权。</w:t>
      </w:r>
    </w:p>
    <w:p w14:paraId="43C8ED8A">
      <w:pPr>
        <w:adjustRightInd w:val="0"/>
        <w:snapToGrid w:val="0"/>
        <w:ind w:firstLine="240" w:firstLineChars="100"/>
        <w:rPr>
          <w:rFonts w:ascii="宋体" w:hAnsi="宋体" w:eastAsia="宋体" w:cs="宋体"/>
          <w:sz w:val="24"/>
        </w:rPr>
      </w:pPr>
      <w:r>
        <w:rPr>
          <w:rFonts w:hint="eastAsia" w:ascii="宋体" w:hAnsi="宋体" w:eastAsia="宋体" w:cs="宋体"/>
          <w:sz w:val="24"/>
        </w:rPr>
        <w:t>（三）对落标的投标人不做落标原因的解释。</w:t>
      </w:r>
    </w:p>
    <w:p w14:paraId="0E4D90B7">
      <w:pPr>
        <w:adjustRightInd w:val="0"/>
        <w:snapToGrid w:val="0"/>
        <w:rPr>
          <w:rFonts w:ascii="宋体" w:hAnsi="宋体" w:eastAsia="宋体" w:cs="宋体"/>
          <w:b/>
          <w:sz w:val="24"/>
        </w:rPr>
      </w:pPr>
      <w:r>
        <w:rPr>
          <w:rFonts w:hint="eastAsia" w:ascii="宋体" w:hAnsi="宋体" w:eastAsia="宋体" w:cs="宋体"/>
          <w:b/>
          <w:sz w:val="24"/>
        </w:rPr>
        <w:t>九、中标通知</w:t>
      </w:r>
    </w:p>
    <w:p w14:paraId="3D044432">
      <w:pPr>
        <w:ind w:firstLine="480" w:firstLineChars="200"/>
        <w:rPr>
          <w:rFonts w:ascii="宋体" w:hAnsi="宋体" w:eastAsia="宋体" w:cs="宋体"/>
          <w:sz w:val="24"/>
        </w:rPr>
      </w:pPr>
      <w:r>
        <w:rPr>
          <w:rFonts w:ascii="宋体" w:hAnsi="宋体" w:eastAsia="宋体" w:cs="宋体"/>
          <w:sz w:val="24"/>
        </w:rPr>
        <w:t>1、开标结束后，采购人</w:t>
      </w:r>
      <w:r>
        <w:rPr>
          <w:rFonts w:hint="eastAsia" w:ascii="宋体" w:hAnsi="宋体" w:eastAsia="宋体" w:cs="宋体"/>
          <w:sz w:val="24"/>
          <w:lang w:val="en-US" w:eastAsia="zh-CN"/>
        </w:rPr>
        <w:t>在沿海集团官网</w:t>
      </w:r>
      <w:r>
        <w:rPr>
          <w:rFonts w:hint="eastAsia" w:ascii="宋体" w:hAnsi="宋体" w:eastAsia="宋体" w:cs="宋体"/>
          <w:sz w:val="24"/>
        </w:rPr>
        <w:t>公布</w:t>
      </w:r>
      <w:r>
        <w:rPr>
          <w:rFonts w:ascii="宋体" w:hAnsi="宋体" w:eastAsia="宋体" w:cs="宋体"/>
          <w:sz w:val="24"/>
        </w:rPr>
        <w:t>中标结果。</w:t>
      </w:r>
    </w:p>
    <w:p w14:paraId="5DB7031A">
      <w:pPr>
        <w:ind w:firstLine="480" w:firstLineChars="200"/>
        <w:rPr>
          <w:rFonts w:ascii="宋体" w:hAnsi="宋体" w:eastAsia="宋体" w:cs="宋体"/>
          <w:sz w:val="24"/>
        </w:rPr>
      </w:pPr>
      <w:r>
        <w:rPr>
          <w:rFonts w:ascii="宋体" w:hAnsi="宋体" w:eastAsia="宋体" w:cs="宋体"/>
          <w:sz w:val="24"/>
        </w:rPr>
        <w:t>2、发布中标结果公告的同时，采购人应当向中标人发放中标通知书。</w:t>
      </w:r>
    </w:p>
    <w:p w14:paraId="50FEEC76">
      <w:pPr>
        <w:ind w:firstLine="480" w:firstLineChars="200"/>
        <w:rPr>
          <w:rFonts w:ascii="宋体" w:hAnsi="宋体" w:eastAsia="宋体" w:cs="宋体"/>
          <w:sz w:val="24"/>
        </w:rPr>
      </w:pPr>
      <w:r>
        <w:rPr>
          <w:rFonts w:ascii="宋体" w:hAnsi="宋体" w:eastAsia="宋体" w:cs="宋体"/>
          <w:sz w:val="24"/>
        </w:rPr>
        <w:t>3、《中标通知书》一经发出，即具有法律效力。采购人、中标人依法承担法律责任。</w:t>
      </w:r>
    </w:p>
    <w:p w14:paraId="5EC259E9">
      <w:pPr>
        <w:rPr>
          <w:rFonts w:ascii="宋体" w:hAnsi="宋体" w:eastAsia="宋体" w:cstheme="minorEastAsia"/>
          <w:b/>
          <w:bCs/>
          <w:sz w:val="24"/>
        </w:rPr>
      </w:pPr>
      <w:r>
        <w:rPr>
          <w:rFonts w:hint="eastAsia" w:ascii="宋体" w:hAnsi="宋体" w:eastAsia="宋体" w:cstheme="minorEastAsia"/>
          <w:b/>
          <w:bCs/>
          <w:sz w:val="24"/>
        </w:rPr>
        <w:t>十、其他注意事项</w:t>
      </w:r>
    </w:p>
    <w:p w14:paraId="610020D3">
      <w:pPr>
        <w:ind w:firstLine="480" w:firstLineChars="200"/>
        <w:rPr>
          <w:rFonts w:ascii="宋体" w:hAnsi="宋体" w:eastAsia="宋体" w:cstheme="minorEastAsia"/>
          <w:sz w:val="24"/>
        </w:rPr>
      </w:pPr>
      <w:r>
        <w:rPr>
          <w:rFonts w:hint="eastAsia" w:ascii="宋体" w:hAnsi="宋体" w:eastAsia="宋体" w:cstheme="minorEastAsia"/>
          <w:sz w:val="24"/>
        </w:rPr>
        <w:t>1.在开标、评审期间，投标人不得向评委询问情况，不得进行旨在影响评标结果的活动。</w:t>
      </w:r>
    </w:p>
    <w:p w14:paraId="5CF82F0B">
      <w:pPr>
        <w:ind w:firstLine="480" w:firstLineChars="200"/>
        <w:rPr>
          <w:rFonts w:ascii="宋体" w:hAnsi="宋体" w:eastAsia="宋体" w:cstheme="minorEastAsia"/>
          <w:sz w:val="24"/>
        </w:rPr>
      </w:pPr>
      <w:r>
        <w:rPr>
          <w:rFonts w:hint="eastAsia" w:ascii="宋体" w:hAnsi="宋体" w:eastAsia="宋体" w:cstheme="minorEastAsia"/>
          <w:sz w:val="24"/>
        </w:rPr>
        <w:t>2.评委会不得向投标人解释落标原因。</w:t>
      </w:r>
    </w:p>
    <w:p w14:paraId="3831A485">
      <w:pPr>
        <w:ind w:firstLine="480" w:firstLineChars="200"/>
        <w:rPr>
          <w:rFonts w:ascii="宋体" w:hAnsi="宋体" w:eastAsia="宋体" w:cstheme="minorEastAsia"/>
          <w:sz w:val="24"/>
        </w:rPr>
      </w:pPr>
      <w:r>
        <w:rPr>
          <w:rFonts w:hint="eastAsia" w:ascii="宋体" w:hAnsi="宋体" w:eastAsia="宋体" w:cstheme="minorEastAsia"/>
          <w:sz w:val="24"/>
        </w:rPr>
        <w:t>3.在投标、评标过程中，如果投标人联合故意压低报价或出现其他不正当行为，招标人有权中止投标或评标。</w:t>
      </w:r>
    </w:p>
    <w:p w14:paraId="63814EE4">
      <w:pPr>
        <w:pStyle w:val="3"/>
        <w:rPr>
          <w:rFonts w:asciiTheme="minorEastAsia" w:hAnsiTheme="minorEastAsia" w:cstheme="minorEastAsia"/>
          <w:sz w:val="36"/>
          <w:szCs w:val="36"/>
        </w:rPr>
      </w:pPr>
    </w:p>
    <w:p w14:paraId="72BC7317">
      <w:pPr>
        <w:pStyle w:val="3"/>
        <w:rPr>
          <w:rFonts w:asciiTheme="minorEastAsia" w:hAnsiTheme="minorEastAsia" w:cstheme="minorEastAsia"/>
          <w:sz w:val="36"/>
          <w:szCs w:val="36"/>
        </w:rPr>
      </w:pPr>
    </w:p>
    <w:p w14:paraId="429839A2">
      <w:pPr>
        <w:pStyle w:val="3"/>
        <w:rPr>
          <w:rFonts w:asciiTheme="minorEastAsia" w:hAnsiTheme="minorEastAsia" w:cstheme="minorEastAsia"/>
          <w:sz w:val="36"/>
          <w:szCs w:val="36"/>
        </w:rPr>
      </w:pPr>
    </w:p>
    <w:p w14:paraId="64E7D47D">
      <w:pPr>
        <w:pStyle w:val="3"/>
        <w:rPr>
          <w:rFonts w:asciiTheme="minorEastAsia" w:hAnsiTheme="minorEastAsia" w:cstheme="minorEastAsia"/>
          <w:sz w:val="36"/>
          <w:szCs w:val="36"/>
        </w:rPr>
      </w:pPr>
    </w:p>
    <w:p w14:paraId="2CCFBB0B">
      <w:pPr>
        <w:pStyle w:val="3"/>
        <w:rPr>
          <w:rFonts w:asciiTheme="minorEastAsia" w:hAnsiTheme="minorEastAsia" w:cstheme="minorEastAsia"/>
          <w:sz w:val="36"/>
          <w:szCs w:val="36"/>
        </w:rPr>
      </w:pPr>
    </w:p>
    <w:p w14:paraId="38476399">
      <w:pPr>
        <w:pStyle w:val="3"/>
        <w:rPr>
          <w:rFonts w:asciiTheme="minorEastAsia" w:hAnsiTheme="minorEastAsia" w:cstheme="minorEastAsia"/>
          <w:sz w:val="36"/>
          <w:szCs w:val="36"/>
        </w:rPr>
      </w:pPr>
    </w:p>
    <w:p w14:paraId="25C4ACD1">
      <w:pPr>
        <w:pStyle w:val="3"/>
        <w:rPr>
          <w:rFonts w:asciiTheme="minorEastAsia" w:hAnsiTheme="minorEastAsia" w:cstheme="minorEastAsia"/>
          <w:sz w:val="36"/>
          <w:szCs w:val="36"/>
        </w:rPr>
      </w:pPr>
    </w:p>
    <w:p w14:paraId="0526854D">
      <w:pPr>
        <w:pStyle w:val="3"/>
        <w:rPr>
          <w:rFonts w:asciiTheme="minorEastAsia" w:hAnsiTheme="minorEastAsia" w:cstheme="minorEastAsia"/>
          <w:sz w:val="36"/>
          <w:szCs w:val="36"/>
        </w:rPr>
      </w:pPr>
    </w:p>
    <w:p w14:paraId="31D4975E">
      <w:pPr>
        <w:pStyle w:val="3"/>
        <w:rPr>
          <w:rFonts w:asciiTheme="minorEastAsia" w:hAnsiTheme="minorEastAsia" w:cstheme="minorEastAsia"/>
          <w:sz w:val="36"/>
          <w:szCs w:val="36"/>
        </w:rPr>
      </w:pPr>
    </w:p>
    <w:p w14:paraId="43BFB40F">
      <w:pPr>
        <w:pStyle w:val="3"/>
        <w:rPr>
          <w:rFonts w:asciiTheme="minorEastAsia" w:hAnsiTheme="minorEastAsia" w:cstheme="minorEastAsia"/>
          <w:sz w:val="36"/>
          <w:szCs w:val="36"/>
        </w:rPr>
      </w:pPr>
    </w:p>
    <w:p w14:paraId="2C6B8528">
      <w:pPr>
        <w:pStyle w:val="3"/>
        <w:rPr>
          <w:rFonts w:asciiTheme="minorEastAsia" w:hAnsiTheme="minorEastAsia" w:cstheme="minorEastAsia"/>
          <w:sz w:val="36"/>
          <w:szCs w:val="36"/>
        </w:rPr>
      </w:pPr>
    </w:p>
    <w:p w14:paraId="33E023FA">
      <w:pPr>
        <w:pStyle w:val="3"/>
        <w:rPr>
          <w:rFonts w:asciiTheme="minorEastAsia" w:hAnsiTheme="minorEastAsia" w:cstheme="minorEastAsia"/>
          <w:sz w:val="36"/>
          <w:szCs w:val="36"/>
        </w:rPr>
      </w:pPr>
    </w:p>
    <w:p w14:paraId="38D0FC7F">
      <w:pPr>
        <w:pStyle w:val="3"/>
        <w:rPr>
          <w:rFonts w:asciiTheme="minorEastAsia" w:hAnsiTheme="minorEastAsia" w:cstheme="minorEastAsia"/>
          <w:sz w:val="36"/>
          <w:szCs w:val="36"/>
        </w:rPr>
      </w:pPr>
    </w:p>
    <w:p w14:paraId="44736356">
      <w:pPr>
        <w:pStyle w:val="3"/>
        <w:rPr>
          <w:rFonts w:asciiTheme="minorEastAsia" w:hAnsiTheme="minorEastAsia" w:cstheme="minorEastAsia"/>
          <w:sz w:val="36"/>
          <w:szCs w:val="36"/>
        </w:rPr>
      </w:pPr>
    </w:p>
    <w:p w14:paraId="19B6B3DC">
      <w:pPr>
        <w:pStyle w:val="3"/>
        <w:rPr>
          <w:rFonts w:asciiTheme="minorEastAsia" w:hAnsiTheme="minorEastAsia" w:cstheme="minorEastAsia"/>
          <w:sz w:val="36"/>
          <w:szCs w:val="36"/>
        </w:rPr>
      </w:pPr>
    </w:p>
    <w:p w14:paraId="111EBBB1">
      <w:pPr>
        <w:pStyle w:val="3"/>
        <w:rPr>
          <w:rFonts w:asciiTheme="minorEastAsia" w:hAnsiTheme="minorEastAsia" w:cstheme="minorEastAsia"/>
          <w:sz w:val="36"/>
          <w:szCs w:val="36"/>
        </w:rPr>
      </w:pPr>
    </w:p>
    <w:p w14:paraId="631334B0">
      <w:pPr>
        <w:pStyle w:val="3"/>
        <w:rPr>
          <w:rFonts w:asciiTheme="minorEastAsia" w:hAnsiTheme="minorEastAsia" w:cstheme="minorEastAsia"/>
          <w:sz w:val="36"/>
          <w:szCs w:val="36"/>
        </w:rPr>
      </w:pPr>
    </w:p>
    <w:p w14:paraId="72D93766">
      <w:pPr>
        <w:pStyle w:val="3"/>
        <w:rPr>
          <w:rFonts w:asciiTheme="minorEastAsia" w:hAnsiTheme="minorEastAsia" w:cstheme="minorEastAsia"/>
          <w:sz w:val="36"/>
          <w:szCs w:val="36"/>
        </w:rPr>
      </w:pPr>
    </w:p>
    <w:p w14:paraId="122F40BD">
      <w:pPr>
        <w:pStyle w:val="3"/>
        <w:rPr>
          <w:rFonts w:asciiTheme="minorEastAsia" w:hAnsiTheme="minorEastAsia" w:cstheme="minorEastAsia"/>
          <w:sz w:val="36"/>
          <w:szCs w:val="36"/>
        </w:rPr>
      </w:pPr>
    </w:p>
    <w:p w14:paraId="39D34FBA">
      <w:pPr>
        <w:pStyle w:val="3"/>
        <w:rPr>
          <w:rFonts w:asciiTheme="minorEastAsia" w:hAnsiTheme="minorEastAsia" w:cstheme="minorEastAsia"/>
          <w:sz w:val="36"/>
          <w:szCs w:val="36"/>
        </w:rPr>
      </w:pPr>
    </w:p>
    <w:p w14:paraId="7AA66DD4">
      <w:pPr>
        <w:pStyle w:val="3"/>
        <w:rPr>
          <w:rFonts w:asciiTheme="minorEastAsia" w:hAnsiTheme="minorEastAsia" w:cstheme="minorEastAsia"/>
          <w:sz w:val="36"/>
          <w:szCs w:val="36"/>
        </w:rPr>
      </w:pPr>
    </w:p>
    <w:p w14:paraId="3DED88C8">
      <w:pPr>
        <w:jc w:val="center"/>
        <w:rPr>
          <w:rFonts w:hint="eastAsia" w:ascii="宋体" w:hAnsi="宋体" w:eastAsia="宋体" w:cstheme="minorEastAsia"/>
          <w:sz w:val="36"/>
          <w:szCs w:val="36"/>
        </w:rPr>
      </w:pPr>
    </w:p>
    <w:p w14:paraId="57F90920">
      <w:pPr>
        <w:jc w:val="center"/>
        <w:rPr>
          <w:rFonts w:hint="eastAsia" w:ascii="宋体" w:hAnsi="宋体" w:eastAsia="宋体" w:cstheme="minorEastAsia"/>
          <w:sz w:val="36"/>
          <w:szCs w:val="36"/>
        </w:rPr>
      </w:pPr>
    </w:p>
    <w:p w14:paraId="5DD0675C">
      <w:pPr>
        <w:jc w:val="center"/>
        <w:rPr>
          <w:rFonts w:ascii="宋体" w:hAnsi="宋体" w:eastAsia="宋体" w:cstheme="minorEastAsia"/>
          <w:sz w:val="36"/>
          <w:szCs w:val="36"/>
        </w:rPr>
      </w:pPr>
      <w:bookmarkStart w:id="0" w:name="_GoBack"/>
      <w:bookmarkEnd w:id="0"/>
      <w:r>
        <w:rPr>
          <w:rFonts w:hint="eastAsia" w:ascii="宋体" w:hAnsi="宋体" w:eastAsia="宋体" w:cstheme="minorEastAsia"/>
          <w:sz w:val="36"/>
          <w:szCs w:val="36"/>
        </w:rPr>
        <w:t>第五部分  合同授予</w:t>
      </w:r>
    </w:p>
    <w:p w14:paraId="1F1A0C51">
      <w:pPr>
        <w:ind w:firstLine="480" w:firstLineChars="200"/>
        <w:rPr>
          <w:rFonts w:ascii="宋体" w:hAnsi="宋体" w:eastAsia="宋体" w:cstheme="minorEastAsia"/>
          <w:sz w:val="24"/>
        </w:rPr>
      </w:pPr>
      <w:r>
        <w:rPr>
          <w:rFonts w:hint="eastAsia" w:ascii="宋体" w:hAnsi="宋体" w:eastAsia="宋体" w:cstheme="minorEastAsia"/>
          <w:sz w:val="24"/>
        </w:rPr>
        <w:t>一、中标人和采购人在发出《中标通知书》后</w:t>
      </w:r>
      <w:r>
        <w:rPr>
          <w:rFonts w:ascii="宋体" w:hAnsi="宋体" w:eastAsia="宋体" w:cstheme="minorEastAsia"/>
          <w:sz w:val="24"/>
        </w:rPr>
        <w:t>30日内签订合同。合同签订后中标人方可履约，否则引起的一切后果由中标人自行承担。所签合同不得对招标文件作实质性修改。采购人不得向中标人提出不合理的要求作为签订合同的条件，不得与中标人私下订立背离招标文件实质性内容的协议。</w:t>
      </w:r>
    </w:p>
    <w:p w14:paraId="45573560">
      <w:pPr>
        <w:ind w:firstLine="480" w:firstLineChars="200"/>
        <w:rPr>
          <w:rFonts w:ascii="宋体" w:hAnsi="宋体" w:eastAsia="宋体" w:cstheme="minorEastAsia"/>
          <w:sz w:val="24"/>
        </w:rPr>
      </w:pPr>
      <w:r>
        <w:rPr>
          <w:rFonts w:hint="eastAsia" w:ascii="宋体" w:hAnsi="宋体" w:eastAsia="宋体" w:cstheme="minorEastAsia"/>
          <w:sz w:val="24"/>
        </w:rPr>
        <w:t>二、采购人按合同约定积极配合中标人履约，中标人履约到位后，请以书面形式向采购人提出验收申请，采购人接到申请后原则上在</w:t>
      </w:r>
      <w:r>
        <w:rPr>
          <w:rFonts w:ascii="宋体" w:hAnsi="宋体" w:eastAsia="宋体" w:cstheme="minorEastAsia"/>
          <w:sz w:val="24"/>
        </w:rPr>
        <w:t>5个工作日内及时组织相关专业技术人员，必要时邀请招标人、质检等部门共同参与验收，并出具验收报告，验收合格的原则上30个工作日内支付相应款项。</w:t>
      </w:r>
    </w:p>
    <w:p w14:paraId="3DA77553">
      <w:pPr>
        <w:ind w:firstLine="480" w:firstLineChars="200"/>
        <w:rPr>
          <w:rFonts w:ascii="宋体" w:hAnsi="宋体" w:eastAsia="宋体" w:cstheme="minorEastAsia"/>
          <w:sz w:val="24"/>
        </w:rPr>
      </w:pPr>
      <w:r>
        <w:rPr>
          <w:rFonts w:hint="eastAsia" w:ascii="宋体" w:hAnsi="宋体" w:eastAsia="宋体" w:cstheme="minorEastAsia"/>
          <w:sz w:val="24"/>
        </w:rPr>
        <w:t>三、采购人故意推迟项目验收时间的，与中标人串通或要求中标人通过降低服务标准及要求中标人出具虚假发票或任意更改销售发票的，谋取不正当利益的，承担相应的法律责任。</w:t>
      </w:r>
    </w:p>
    <w:p w14:paraId="5C4CB5A3">
      <w:pPr>
        <w:ind w:firstLine="480" w:firstLineChars="200"/>
        <w:rPr>
          <w:rFonts w:ascii="宋体" w:hAnsi="宋体" w:eastAsia="宋体" w:cstheme="minorEastAsia"/>
          <w:sz w:val="24"/>
        </w:rPr>
      </w:pPr>
      <w:r>
        <w:rPr>
          <w:rFonts w:hint="eastAsia" w:ascii="宋体" w:hAnsi="宋体" w:eastAsia="宋体" w:cstheme="minorEastAsia"/>
          <w:sz w:val="24"/>
        </w:rPr>
        <w:t>四、中标人出现违约情形，应当及时纠正或补偿；造成损失的，按合同约定追究违约责任；发现有假冒、伪劣、走私产品、商业贿赂等违法情形的，应由采购人移交工商、质监、公安等行政执法部门依法查处。</w:t>
      </w:r>
    </w:p>
    <w:p w14:paraId="05E108CF">
      <w:pPr>
        <w:ind w:firstLine="480" w:firstLineChars="200"/>
        <w:rPr>
          <w:rFonts w:asciiTheme="minorEastAsia" w:hAnsiTheme="minorEastAsia" w:cstheme="minorEastAsia"/>
          <w:sz w:val="24"/>
        </w:rPr>
      </w:pPr>
      <w:r>
        <w:rPr>
          <w:rFonts w:hint="eastAsia" w:ascii="宋体" w:hAnsi="宋体" w:eastAsia="宋体" w:cstheme="minorEastAsia"/>
          <w:sz w:val="24"/>
        </w:rPr>
        <w:t>五、不响应付款方式的，视同无效投标处理。</w:t>
      </w:r>
    </w:p>
    <w:p w14:paraId="251B9177">
      <w:pPr>
        <w:rPr>
          <w:rFonts w:asciiTheme="minorEastAsia" w:hAnsiTheme="minorEastAsia" w:cstheme="minorEastAsia"/>
          <w:sz w:val="24"/>
        </w:rPr>
      </w:pPr>
    </w:p>
    <w:p w14:paraId="2DA858C6">
      <w:pPr>
        <w:pStyle w:val="3"/>
        <w:rPr>
          <w:rFonts w:asciiTheme="minorEastAsia" w:hAnsiTheme="minorEastAsia" w:cstheme="minorEastAsia"/>
          <w:sz w:val="24"/>
        </w:rPr>
      </w:pPr>
    </w:p>
    <w:p w14:paraId="2E6275E7">
      <w:pPr>
        <w:pStyle w:val="3"/>
        <w:rPr>
          <w:rFonts w:asciiTheme="minorEastAsia" w:hAnsiTheme="minorEastAsia" w:cstheme="minorEastAsia"/>
          <w:sz w:val="24"/>
        </w:rPr>
      </w:pPr>
    </w:p>
    <w:p w14:paraId="1251EDD2">
      <w:pPr>
        <w:pStyle w:val="3"/>
      </w:pPr>
    </w:p>
    <w:p w14:paraId="6C1D4F07">
      <w:pPr>
        <w:pStyle w:val="3"/>
      </w:pPr>
    </w:p>
    <w:p w14:paraId="3B6DB328">
      <w:pPr>
        <w:rPr>
          <w:rFonts w:asciiTheme="minorEastAsia" w:hAnsiTheme="minorEastAsia" w:cstheme="minorEastAsia"/>
          <w:sz w:val="36"/>
          <w:szCs w:val="36"/>
        </w:rPr>
      </w:pPr>
    </w:p>
    <w:p w14:paraId="7A7EE9DB">
      <w:pPr>
        <w:pStyle w:val="2"/>
      </w:pPr>
    </w:p>
    <w:p w14:paraId="71DE7F13">
      <w:pPr>
        <w:pStyle w:val="3"/>
      </w:pPr>
    </w:p>
    <w:p w14:paraId="7FBDFA4E">
      <w:pPr>
        <w:pStyle w:val="3"/>
      </w:pPr>
    </w:p>
    <w:p w14:paraId="36386CA9">
      <w:pPr>
        <w:pStyle w:val="3"/>
      </w:pPr>
    </w:p>
    <w:p w14:paraId="2DAD5FA5">
      <w:pPr>
        <w:pStyle w:val="3"/>
      </w:pPr>
    </w:p>
    <w:p w14:paraId="6F3B0505">
      <w:pPr>
        <w:pStyle w:val="3"/>
      </w:pPr>
    </w:p>
    <w:p w14:paraId="463C86FA">
      <w:pPr>
        <w:pStyle w:val="3"/>
      </w:pPr>
    </w:p>
    <w:p w14:paraId="1B130FE5">
      <w:pPr>
        <w:pStyle w:val="3"/>
      </w:pPr>
    </w:p>
    <w:p w14:paraId="45558D52">
      <w:pPr>
        <w:pStyle w:val="3"/>
      </w:pPr>
    </w:p>
    <w:p w14:paraId="7E1B676A">
      <w:pPr>
        <w:pStyle w:val="3"/>
      </w:pPr>
    </w:p>
    <w:p w14:paraId="7C5B4B89">
      <w:pPr>
        <w:pStyle w:val="3"/>
      </w:pPr>
    </w:p>
    <w:p w14:paraId="556DB4B0">
      <w:pPr>
        <w:pStyle w:val="3"/>
      </w:pPr>
    </w:p>
    <w:p w14:paraId="6CB9AFC2">
      <w:pPr>
        <w:pStyle w:val="3"/>
      </w:pPr>
    </w:p>
    <w:p w14:paraId="2A988DEE">
      <w:pPr>
        <w:pStyle w:val="3"/>
      </w:pPr>
    </w:p>
    <w:p w14:paraId="39899F08">
      <w:pPr>
        <w:pStyle w:val="3"/>
      </w:pPr>
    </w:p>
    <w:p w14:paraId="6FA6B8E4">
      <w:pPr>
        <w:pStyle w:val="3"/>
      </w:pPr>
    </w:p>
    <w:p w14:paraId="6A0FEB80">
      <w:pPr>
        <w:pStyle w:val="3"/>
      </w:pPr>
    </w:p>
    <w:p w14:paraId="7FCA8442">
      <w:pPr>
        <w:pStyle w:val="3"/>
      </w:pPr>
    </w:p>
    <w:p w14:paraId="1740D45C">
      <w:pPr>
        <w:pStyle w:val="3"/>
      </w:pPr>
    </w:p>
    <w:p w14:paraId="2D1F94FB">
      <w:pPr>
        <w:pStyle w:val="3"/>
      </w:pPr>
    </w:p>
    <w:p w14:paraId="2FA32692">
      <w:pPr>
        <w:pStyle w:val="3"/>
      </w:pPr>
    </w:p>
    <w:p w14:paraId="210B6A29">
      <w:pPr>
        <w:pStyle w:val="3"/>
      </w:pPr>
    </w:p>
    <w:p w14:paraId="4DF4666F">
      <w:pPr>
        <w:pStyle w:val="3"/>
      </w:pPr>
    </w:p>
    <w:p w14:paraId="340A8B5D">
      <w:pPr>
        <w:jc w:val="center"/>
        <w:rPr>
          <w:rFonts w:ascii="宋体" w:hAnsi="宋体" w:eastAsia="宋体" w:cstheme="minorEastAsia"/>
          <w:sz w:val="36"/>
          <w:szCs w:val="36"/>
        </w:rPr>
      </w:pPr>
      <w:r>
        <w:rPr>
          <w:rFonts w:hint="eastAsia" w:ascii="宋体" w:hAnsi="宋体" w:eastAsia="宋体" w:cstheme="minorEastAsia"/>
          <w:sz w:val="36"/>
          <w:szCs w:val="36"/>
        </w:rPr>
        <w:t>第六部分  质疑提出和处理</w:t>
      </w:r>
    </w:p>
    <w:p w14:paraId="13913CDD">
      <w:pPr>
        <w:pStyle w:val="2"/>
        <w:spacing w:after="0" w:line="180" w:lineRule="auto"/>
        <w:ind w:leftChars="0"/>
        <w:rPr>
          <w:rFonts w:ascii="宋体" w:hAnsi="宋体" w:eastAsia="宋体"/>
          <w:sz w:val="24"/>
        </w:rPr>
      </w:pPr>
      <w:r>
        <w:rPr>
          <w:rFonts w:ascii="宋体" w:hAnsi="宋体" w:eastAsia="宋体"/>
          <w:sz w:val="24"/>
        </w:rPr>
        <w:t>1.质疑必须是直接参加本次招投标活动的当事人。</w:t>
      </w:r>
    </w:p>
    <w:p w14:paraId="45D8A81A">
      <w:pPr>
        <w:pStyle w:val="2"/>
        <w:spacing w:after="0" w:line="180" w:lineRule="auto"/>
        <w:ind w:left="0" w:leftChars="0" w:firstLine="480" w:firstLineChars="200"/>
        <w:rPr>
          <w:rFonts w:ascii="宋体" w:hAnsi="宋体" w:eastAsia="宋体"/>
          <w:sz w:val="24"/>
        </w:rPr>
      </w:pPr>
      <w:r>
        <w:rPr>
          <w:rFonts w:ascii="宋体" w:hAnsi="宋体" w:eastAsia="宋体"/>
          <w:sz w:val="24"/>
        </w:rPr>
        <w:t>2.取得招标文件的投标人应根据招标文件第二章 “投标人须知”中“第一条第1款”的约定提出质疑。</w:t>
      </w:r>
    </w:p>
    <w:p w14:paraId="23B5C1AB">
      <w:pPr>
        <w:pStyle w:val="2"/>
        <w:spacing w:after="0" w:line="180" w:lineRule="auto"/>
        <w:ind w:left="0" w:leftChars="0" w:firstLine="480" w:firstLineChars="200"/>
        <w:rPr>
          <w:rFonts w:ascii="宋体" w:hAnsi="宋体" w:eastAsia="宋体"/>
          <w:sz w:val="24"/>
        </w:rPr>
      </w:pPr>
      <w:r>
        <w:rPr>
          <w:rFonts w:hint="eastAsia" w:ascii="宋体" w:hAnsi="宋体" w:eastAsia="宋体"/>
          <w:sz w:val="24"/>
        </w:rPr>
        <w:t>投标文件接收截止后未进行投标登记的投标人，不能就投标文件接收截止后的招标过程、中标结果提出质疑。</w:t>
      </w:r>
    </w:p>
    <w:p w14:paraId="0ED376E5">
      <w:pPr>
        <w:pStyle w:val="2"/>
        <w:spacing w:after="0" w:line="180" w:lineRule="auto"/>
        <w:ind w:left="0" w:leftChars="0" w:firstLine="480" w:firstLineChars="200"/>
        <w:rPr>
          <w:rFonts w:ascii="宋体" w:hAnsi="宋体" w:eastAsia="宋体"/>
          <w:sz w:val="24"/>
        </w:rPr>
      </w:pPr>
      <w:r>
        <w:rPr>
          <w:rFonts w:hint="eastAsia" w:ascii="宋体" w:hAnsi="宋体" w:eastAsia="宋体"/>
          <w:sz w:val="24"/>
        </w:rPr>
        <w:t>在招标过程中，凡主持人或评标委员会明确提出须由投标人确认的事项，投标人当场无异议的，事后不得提出质疑、投诉。</w:t>
      </w:r>
    </w:p>
    <w:p w14:paraId="6184E464">
      <w:pPr>
        <w:pStyle w:val="2"/>
        <w:spacing w:after="0" w:line="180" w:lineRule="auto"/>
        <w:ind w:left="0" w:leftChars="0" w:firstLine="480" w:firstLineChars="200"/>
        <w:rPr>
          <w:rFonts w:ascii="宋体" w:hAnsi="宋体" w:eastAsia="宋体"/>
          <w:sz w:val="24"/>
        </w:rPr>
      </w:pPr>
      <w:r>
        <w:rPr>
          <w:rFonts w:ascii="宋体" w:hAnsi="宋体" w:eastAsia="宋体"/>
          <w:sz w:val="24"/>
        </w:rPr>
        <w:t>3.提出质疑时，必须坚持“谁主张，谁举证”、“实事求是”的原则，不能臆测。</w:t>
      </w:r>
    </w:p>
    <w:p w14:paraId="423AA8D2">
      <w:pPr>
        <w:pStyle w:val="2"/>
        <w:spacing w:after="0" w:line="180" w:lineRule="auto"/>
        <w:ind w:left="0" w:leftChars="0" w:firstLine="480" w:firstLineChars="200"/>
        <w:rPr>
          <w:rFonts w:ascii="宋体" w:hAnsi="宋体" w:eastAsia="宋体"/>
          <w:sz w:val="24"/>
        </w:rPr>
      </w:pPr>
      <w:r>
        <w:rPr>
          <w:rFonts w:hint="eastAsia" w:ascii="宋体" w:hAnsi="宋体" w:eastAsia="宋体"/>
          <w:sz w:val="24"/>
        </w:rPr>
        <w:t>属于须由法定部门调查、侦查或先行作出相关认定的事项，质疑人应当依法申请具有法定职权的部门查清、认定，并将相关结果提供给招标人、招标代理机构。</w:t>
      </w:r>
    </w:p>
    <w:p w14:paraId="5F6B479F">
      <w:pPr>
        <w:pStyle w:val="2"/>
        <w:spacing w:after="0" w:line="180" w:lineRule="auto"/>
        <w:ind w:left="0" w:leftChars="0" w:firstLine="480" w:firstLineChars="200"/>
        <w:rPr>
          <w:rFonts w:ascii="宋体" w:hAnsi="宋体" w:eastAsia="宋体"/>
          <w:sz w:val="24"/>
        </w:rPr>
      </w:pPr>
      <w:r>
        <w:rPr>
          <w:rFonts w:hint="eastAsia" w:ascii="宋体" w:hAnsi="宋体" w:eastAsia="宋体"/>
          <w:sz w:val="24"/>
        </w:rPr>
        <w:t>招标人、招标代理机构不具有法定调查、认定的权限。</w:t>
      </w:r>
    </w:p>
    <w:p w14:paraId="31A7759B">
      <w:pPr>
        <w:pStyle w:val="2"/>
        <w:spacing w:after="0" w:line="180" w:lineRule="auto"/>
        <w:ind w:left="0" w:leftChars="0" w:firstLine="480" w:firstLineChars="200"/>
        <w:rPr>
          <w:rFonts w:ascii="宋体" w:hAnsi="宋体" w:eastAsia="宋体"/>
          <w:sz w:val="24"/>
        </w:rPr>
      </w:pPr>
      <w:r>
        <w:rPr>
          <w:rFonts w:ascii="宋体" w:hAnsi="宋体" w:eastAsia="宋体"/>
          <w:sz w:val="24"/>
        </w:rPr>
        <w:t>4.对本次招投标有质疑的，须实名制以书面形式提出，不得进行匿名、虚假、恶意质疑。</w:t>
      </w:r>
    </w:p>
    <w:p w14:paraId="005782CB">
      <w:pPr>
        <w:pStyle w:val="2"/>
        <w:spacing w:after="0" w:line="180" w:lineRule="auto"/>
        <w:ind w:left="0" w:leftChars="0" w:firstLine="480" w:firstLineChars="200"/>
        <w:rPr>
          <w:rFonts w:ascii="宋体" w:hAnsi="宋体" w:eastAsia="宋体"/>
          <w:sz w:val="24"/>
        </w:rPr>
      </w:pPr>
      <w:r>
        <w:rPr>
          <w:rFonts w:hint="eastAsia" w:ascii="宋体" w:hAnsi="宋体" w:eastAsia="宋体"/>
          <w:sz w:val="24"/>
        </w:rPr>
        <w:t>质疑人应在质疑有效期内以书面形式提出《质疑函》。</w:t>
      </w:r>
    </w:p>
    <w:p w14:paraId="3841642A">
      <w:pPr>
        <w:pStyle w:val="2"/>
        <w:spacing w:after="0" w:line="180" w:lineRule="auto"/>
        <w:ind w:left="0" w:leftChars="0" w:firstLine="480" w:firstLineChars="200"/>
        <w:rPr>
          <w:rFonts w:ascii="宋体" w:hAnsi="宋体" w:eastAsia="宋体"/>
          <w:sz w:val="24"/>
        </w:rPr>
      </w:pPr>
      <w:r>
        <w:rPr>
          <w:rFonts w:hint="eastAsia" w:ascii="宋体" w:hAnsi="宋体" w:eastAsia="宋体"/>
          <w:sz w:val="24"/>
        </w:rPr>
        <w:t>《质疑函》内容应包括质疑事项、主要内容、事实依据、适应法规条款、佐证材料等。</w:t>
      </w:r>
    </w:p>
    <w:p w14:paraId="3FAC5E80">
      <w:pPr>
        <w:pStyle w:val="2"/>
        <w:spacing w:after="0" w:line="180" w:lineRule="auto"/>
        <w:ind w:left="0" w:leftChars="0" w:firstLine="480" w:firstLineChars="200"/>
        <w:rPr>
          <w:rFonts w:ascii="宋体" w:hAnsi="宋体" w:eastAsia="宋体"/>
          <w:sz w:val="24"/>
        </w:rPr>
      </w:pPr>
      <w:r>
        <w:rPr>
          <w:rFonts w:hint="eastAsia" w:ascii="宋体" w:hAnsi="宋体" w:eastAsia="宋体"/>
          <w:sz w:val="24"/>
        </w:rPr>
        <w:t>质疑人应保证其提出的质疑内容及相关佐证材料的真实性及来源的合法性，并承担相应的法律责任。</w:t>
      </w:r>
    </w:p>
    <w:p w14:paraId="52B2220D">
      <w:pPr>
        <w:pStyle w:val="2"/>
        <w:spacing w:after="0" w:line="180" w:lineRule="auto"/>
        <w:ind w:left="0" w:leftChars="0" w:firstLine="480" w:firstLineChars="200"/>
        <w:rPr>
          <w:rFonts w:ascii="宋体" w:hAnsi="宋体" w:eastAsia="宋体"/>
          <w:sz w:val="24"/>
        </w:rPr>
      </w:pPr>
      <w:r>
        <w:rPr>
          <w:rFonts w:hint="eastAsia" w:ascii="宋体" w:hAnsi="宋体" w:eastAsia="宋体"/>
          <w:sz w:val="24"/>
        </w:rPr>
        <w:t>对不能提供相关佐证材料的、涉及商业秘密的、非书面形式的、非送达的、匿名的《质疑函》将不予受理，视作无效质疑。</w:t>
      </w:r>
    </w:p>
    <w:p w14:paraId="16D1267D">
      <w:pPr>
        <w:pStyle w:val="2"/>
        <w:spacing w:after="0" w:line="180" w:lineRule="auto"/>
        <w:ind w:left="0" w:leftChars="0" w:firstLine="480" w:firstLineChars="200"/>
        <w:rPr>
          <w:rFonts w:ascii="宋体" w:hAnsi="宋体" w:eastAsia="宋体"/>
          <w:sz w:val="24"/>
        </w:rPr>
      </w:pPr>
      <w:r>
        <w:rPr>
          <w:rFonts w:hint="eastAsia" w:ascii="宋体" w:hAnsi="宋体" w:eastAsia="宋体"/>
          <w:sz w:val="24"/>
        </w:rPr>
        <w:t>相关佐证材料要具备客观性、关联性、合法性，无法查实的（如宣传册、媒体报道、猜测、推理等）不能作为佐证材料。</w:t>
      </w:r>
    </w:p>
    <w:p w14:paraId="70BE541C">
      <w:pPr>
        <w:pStyle w:val="2"/>
        <w:spacing w:after="0" w:line="180" w:lineRule="auto"/>
        <w:ind w:left="0" w:leftChars="0" w:firstLine="480" w:firstLineChars="200"/>
        <w:rPr>
          <w:rFonts w:ascii="宋体" w:hAnsi="宋体" w:eastAsia="宋体"/>
          <w:sz w:val="24"/>
        </w:rPr>
      </w:pPr>
      <w:r>
        <w:rPr>
          <w:rFonts w:hint="eastAsia" w:ascii="宋体" w:hAnsi="宋体" w:eastAsia="宋体"/>
          <w:sz w:val="24"/>
        </w:rPr>
        <w:t>招标人、招标代理机构不负责搜集相关佐证材料等工作。</w:t>
      </w:r>
    </w:p>
    <w:p w14:paraId="50ADBA0C">
      <w:pPr>
        <w:pStyle w:val="2"/>
        <w:spacing w:after="0" w:line="180" w:lineRule="auto"/>
        <w:ind w:left="0" w:leftChars="0"/>
        <w:rPr>
          <w:rFonts w:ascii="宋体" w:hAnsi="宋体" w:eastAsia="宋体"/>
          <w:b/>
          <w:sz w:val="24"/>
        </w:rPr>
      </w:pPr>
      <w:r>
        <w:rPr>
          <w:rFonts w:hint="eastAsia" w:ascii="宋体" w:hAnsi="宋体" w:eastAsia="宋体"/>
          <w:b/>
          <w:sz w:val="24"/>
        </w:rPr>
        <w:t>二、《质疑函》的受理和回复</w:t>
      </w:r>
    </w:p>
    <w:p w14:paraId="33C72C36">
      <w:pPr>
        <w:pStyle w:val="2"/>
        <w:spacing w:after="0" w:line="180" w:lineRule="auto"/>
        <w:ind w:left="0" w:leftChars="0" w:firstLine="480" w:firstLineChars="200"/>
        <w:rPr>
          <w:rFonts w:ascii="宋体" w:hAnsi="宋体" w:eastAsia="宋体"/>
          <w:sz w:val="24"/>
        </w:rPr>
      </w:pPr>
      <w:r>
        <w:rPr>
          <w:rFonts w:ascii="宋体" w:hAnsi="宋体" w:eastAsia="宋体"/>
          <w:sz w:val="24"/>
        </w:rPr>
        <w:t>1.《质疑函》须由质疑人的法定代表人或参加本次招标授权人送达招标人。</w:t>
      </w:r>
    </w:p>
    <w:p w14:paraId="7AF7E2E3">
      <w:pPr>
        <w:pStyle w:val="2"/>
        <w:spacing w:after="0" w:line="180" w:lineRule="auto"/>
        <w:ind w:left="0" w:leftChars="0" w:firstLine="480" w:firstLineChars="200"/>
        <w:rPr>
          <w:rFonts w:ascii="宋体" w:hAnsi="宋体" w:eastAsia="宋体"/>
          <w:sz w:val="24"/>
        </w:rPr>
      </w:pPr>
      <w:r>
        <w:rPr>
          <w:rFonts w:ascii="宋体" w:hAnsi="宋体" w:eastAsia="宋体"/>
          <w:sz w:val="24"/>
        </w:rPr>
        <w:t>2.对符合提出质疑要求的，招标人签收并出具《质疑受理通知书》并在7个工作日内以书面形式答复质疑人。在处理过程中，发现需要质疑人进一步补充相关佐证材料的，请质疑人在规定的时间内提供，质疑答复时间相应顺延。质疑人不能按时提供相关佐证材料的，视同放弃质疑。</w:t>
      </w:r>
    </w:p>
    <w:p w14:paraId="12C8256A">
      <w:pPr>
        <w:pStyle w:val="2"/>
        <w:spacing w:after="0" w:line="180" w:lineRule="auto"/>
        <w:ind w:left="0" w:leftChars="0" w:firstLine="480" w:firstLineChars="200"/>
        <w:rPr>
          <w:rFonts w:ascii="宋体" w:hAnsi="宋体" w:eastAsia="宋体"/>
          <w:sz w:val="24"/>
        </w:rPr>
      </w:pPr>
      <w:r>
        <w:rPr>
          <w:rFonts w:ascii="宋体" w:hAnsi="宋体" w:eastAsia="宋体"/>
          <w:sz w:val="24"/>
        </w:rPr>
        <w:t>3.对不符合提出质疑要求的《质疑函》，出具《质疑退回通知书》并提出相关补充材料要求，质疑人未在规定时间内提供补充佐证材料的，视同放弃质疑。</w:t>
      </w:r>
    </w:p>
    <w:p w14:paraId="23500C3B">
      <w:pPr>
        <w:pStyle w:val="2"/>
        <w:spacing w:after="0" w:line="180" w:lineRule="auto"/>
        <w:ind w:left="0" w:leftChars="0" w:firstLine="480" w:firstLineChars="200"/>
        <w:rPr>
          <w:rFonts w:ascii="宋体" w:hAnsi="宋体" w:eastAsia="宋体"/>
          <w:sz w:val="24"/>
        </w:rPr>
      </w:pPr>
      <w:r>
        <w:rPr>
          <w:rFonts w:ascii="宋体" w:hAnsi="宋体" w:eastAsia="宋体"/>
          <w:sz w:val="24"/>
        </w:rPr>
        <w:t>4.招标人负责将质疑人提交的质疑相关材料提供给相关专家或评标委员会审核，并将审核意见回复质疑人。</w:t>
      </w:r>
    </w:p>
    <w:p w14:paraId="50F1FA2A">
      <w:pPr>
        <w:pStyle w:val="2"/>
        <w:spacing w:after="0" w:line="180" w:lineRule="auto"/>
        <w:ind w:left="0" w:leftChars="0" w:firstLine="480" w:firstLineChars="200"/>
        <w:rPr>
          <w:rFonts w:ascii="宋体" w:hAnsi="宋体" w:eastAsia="宋体"/>
          <w:sz w:val="24"/>
        </w:rPr>
      </w:pPr>
      <w:r>
        <w:rPr>
          <w:rFonts w:hint="eastAsia" w:ascii="宋体" w:hAnsi="宋体" w:eastAsia="宋体"/>
          <w:sz w:val="24"/>
        </w:rPr>
        <w:t>必要时，可向被质疑投标人（以下称被质疑人）转发《质疑函》及相关佐证材料。</w:t>
      </w:r>
    </w:p>
    <w:p w14:paraId="6E170914">
      <w:pPr>
        <w:pStyle w:val="2"/>
        <w:spacing w:after="0" w:line="180" w:lineRule="auto"/>
        <w:ind w:left="0" w:leftChars="0" w:firstLine="480" w:firstLineChars="200"/>
        <w:rPr>
          <w:rFonts w:ascii="宋体" w:hAnsi="宋体" w:eastAsia="宋体"/>
          <w:sz w:val="24"/>
        </w:rPr>
      </w:pPr>
      <w:r>
        <w:rPr>
          <w:rFonts w:hint="eastAsia" w:ascii="宋体" w:hAnsi="宋体" w:eastAsia="宋体"/>
          <w:sz w:val="24"/>
        </w:rPr>
        <w:t>被质疑人应当在要求的时间日期内，以书面形式作出说明回复，并提交相关证据。</w:t>
      </w:r>
    </w:p>
    <w:p w14:paraId="04C42CB8">
      <w:pPr>
        <w:pStyle w:val="2"/>
        <w:spacing w:after="0" w:line="180" w:lineRule="auto"/>
        <w:ind w:left="0" w:leftChars="0" w:firstLine="480" w:firstLineChars="200"/>
        <w:rPr>
          <w:rFonts w:ascii="宋体" w:hAnsi="宋体" w:eastAsia="宋体"/>
          <w:sz w:val="24"/>
        </w:rPr>
      </w:pPr>
      <w:r>
        <w:rPr>
          <w:rFonts w:hint="eastAsia" w:ascii="宋体" w:hAnsi="宋体" w:eastAsia="宋体"/>
          <w:sz w:val="24"/>
        </w:rPr>
        <w:t>被质疑人在规定时间内，无正当理由未提交相关证据的，视同放弃说明权利，认可被质疑事项。</w:t>
      </w:r>
    </w:p>
    <w:p w14:paraId="74F44A69">
      <w:pPr>
        <w:pStyle w:val="2"/>
        <w:spacing w:after="0" w:line="180" w:lineRule="auto"/>
        <w:ind w:left="0" w:leftChars="0" w:firstLine="480" w:firstLineChars="200"/>
        <w:rPr>
          <w:rFonts w:ascii="宋体" w:hAnsi="宋体" w:eastAsia="宋体"/>
          <w:sz w:val="24"/>
        </w:rPr>
      </w:pPr>
      <w:r>
        <w:rPr>
          <w:rFonts w:ascii="宋体" w:hAnsi="宋体" w:eastAsia="宋体"/>
          <w:sz w:val="24"/>
        </w:rPr>
        <w:t>5.因质疑情况复杂，组织论证或审查时间较长的，招标人以书面形式通知质疑人，可适当延长质疑回复处理时间。</w:t>
      </w:r>
    </w:p>
    <w:p w14:paraId="5AD7877E">
      <w:pPr>
        <w:pStyle w:val="2"/>
        <w:spacing w:after="0" w:line="180" w:lineRule="auto"/>
        <w:ind w:left="0" w:leftChars="0"/>
        <w:rPr>
          <w:rFonts w:ascii="宋体" w:hAnsi="宋体" w:eastAsia="宋体"/>
          <w:b/>
          <w:sz w:val="24"/>
        </w:rPr>
      </w:pPr>
      <w:r>
        <w:rPr>
          <w:rFonts w:hint="eastAsia" w:ascii="宋体" w:hAnsi="宋体" w:eastAsia="宋体"/>
          <w:b/>
          <w:sz w:val="24"/>
        </w:rPr>
        <w:t>三、质疑处理</w:t>
      </w:r>
    </w:p>
    <w:p w14:paraId="1975D59A">
      <w:pPr>
        <w:pStyle w:val="2"/>
        <w:spacing w:after="0" w:line="180" w:lineRule="auto"/>
        <w:ind w:left="0" w:leftChars="0" w:firstLine="480" w:firstLineChars="200"/>
        <w:rPr>
          <w:rFonts w:ascii="宋体" w:hAnsi="宋体" w:eastAsia="宋体"/>
          <w:sz w:val="24"/>
        </w:rPr>
      </w:pPr>
      <w:r>
        <w:rPr>
          <w:rFonts w:ascii="宋体" w:hAnsi="宋体" w:eastAsia="宋体"/>
          <w:sz w:val="24"/>
        </w:rPr>
        <w:t>1.质疑成立的处理。招标人终止招标，并建议有关部门给相关当事人予以处理。</w:t>
      </w:r>
    </w:p>
    <w:p w14:paraId="58902CD7">
      <w:pPr>
        <w:pStyle w:val="2"/>
        <w:spacing w:after="0" w:line="180" w:lineRule="auto"/>
        <w:ind w:left="0" w:leftChars="0" w:firstLine="480" w:firstLineChars="200"/>
        <w:rPr>
          <w:rFonts w:ascii="宋体" w:hAnsi="宋体" w:eastAsia="宋体"/>
          <w:sz w:val="24"/>
        </w:rPr>
      </w:pPr>
      <w:r>
        <w:rPr>
          <w:rFonts w:ascii="宋体" w:hAnsi="宋体" w:eastAsia="宋体"/>
          <w:sz w:val="24"/>
        </w:rPr>
        <w:t>2.质疑不成立的处理：</w:t>
      </w:r>
    </w:p>
    <w:p w14:paraId="2E152147">
      <w:pPr>
        <w:pStyle w:val="2"/>
        <w:spacing w:after="0" w:line="180" w:lineRule="auto"/>
        <w:ind w:left="0" w:leftChars="0" w:firstLine="480" w:firstLineChars="200"/>
        <w:rPr>
          <w:rFonts w:ascii="宋体" w:hAnsi="宋体" w:eastAsia="宋体"/>
          <w:sz w:val="24"/>
        </w:rPr>
      </w:pPr>
      <w:r>
        <w:rPr>
          <w:rFonts w:hint="eastAsia" w:ascii="宋体" w:hAnsi="宋体" w:eastAsia="宋体"/>
          <w:sz w:val="24"/>
        </w:rPr>
        <w:t>（</w:t>
      </w:r>
      <w:r>
        <w:rPr>
          <w:rFonts w:ascii="宋体" w:hAnsi="宋体" w:eastAsia="宋体"/>
          <w:sz w:val="24"/>
        </w:rPr>
        <w:t>1）质疑人书面《申请撤回质疑函》。</w:t>
      </w:r>
    </w:p>
    <w:p w14:paraId="7BAA6D37">
      <w:pPr>
        <w:pStyle w:val="2"/>
        <w:spacing w:after="0" w:line="180" w:lineRule="auto"/>
        <w:ind w:left="0" w:leftChars="0" w:firstLine="480" w:firstLineChars="200"/>
        <w:rPr>
          <w:rFonts w:ascii="宋体" w:hAnsi="宋体" w:eastAsia="宋体"/>
          <w:sz w:val="24"/>
        </w:rPr>
      </w:pPr>
      <w:r>
        <w:rPr>
          <w:rFonts w:hint="eastAsia" w:ascii="宋体" w:hAnsi="宋体" w:eastAsia="宋体"/>
          <w:sz w:val="24"/>
        </w:rPr>
        <w:t>（</w:t>
      </w:r>
      <w:r>
        <w:rPr>
          <w:rFonts w:ascii="宋体" w:hAnsi="宋体" w:eastAsia="宋体"/>
          <w:sz w:val="24"/>
        </w:rPr>
        <w:t>2）质疑人在规定的时间内不配合进行质疑调查处理的，按自动撤回《质疑函》处理。</w:t>
      </w:r>
    </w:p>
    <w:p w14:paraId="542CE1AC">
      <w:pPr>
        <w:pStyle w:val="2"/>
        <w:spacing w:after="0" w:line="180" w:lineRule="auto"/>
        <w:ind w:left="0" w:leftChars="0" w:firstLine="480" w:firstLineChars="200"/>
        <w:rPr>
          <w:rFonts w:ascii="宋体" w:hAnsi="宋体" w:eastAsia="宋体"/>
          <w:sz w:val="24"/>
        </w:rPr>
      </w:pPr>
      <w:r>
        <w:rPr>
          <w:rFonts w:hint="eastAsia" w:ascii="宋体" w:hAnsi="宋体" w:eastAsia="宋体"/>
          <w:sz w:val="24"/>
        </w:rPr>
        <w:t>（</w:t>
      </w:r>
      <w:r>
        <w:rPr>
          <w:rFonts w:ascii="宋体" w:hAnsi="宋体" w:eastAsia="宋体"/>
          <w:sz w:val="24"/>
        </w:rPr>
        <w:t>3）质疑人不按《质疑函》格式就提出质疑的，视情列入不良投标人名单。</w:t>
      </w:r>
    </w:p>
    <w:p w14:paraId="58DA65B7">
      <w:pPr>
        <w:pStyle w:val="2"/>
        <w:spacing w:after="0" w:line="180" w:lineRule="auto"/>
        <w:ind w:left="0" w:leftChars="0" w:firstLine="480" w:firstLineChars="200"/>
        <w:rPr>
          <w:rFonts w:ascii="宋体" w:hAnsi="宋体" w:eastAsia="宋体"/>
          <w:sz w:val="24"/>
        </w:rPr>
      </w:pPr>
      <w:r>
        <w:rPr>
          <w:rFonts w:hint="eastAsia" w:ascii="宋体" w:hAnsi="宋体" w:eastAsia="宋体"/>
          <w:sz w:val="24"/>
        </w:rPr>
        <w:t>（</w:t>
      </w:r>
      <w:r>
        <w:rPr>
          <w:rFonts w:ascii="宋体" w:hAnsi="宋体" w:eastAsia="宋体"/>
          <w:sz w:val="24"/>
        </w:rPr>
        <w:t>4）质疑人不能提供相关佐证材料的，招标人已指出，质疑人仍然坚持提出质疑的，质疑人虽提供了相关佐证材料，但不能证明其质疑成立的，招标人请质疑人补充相关佐证材料，仍不能证明其质疑成立的，列入不良投标人名单。</w:t>
      </w:r>
    </w:p>
    <w:p w14:paraId="4D7CFC57">
      <w:pPr>
        <w:pStyle w:val="2"/>
        <w:spacing w:after="0" w:line="180" w:lineRule="auto"/>
        <w:ind w:left="0" w:leftChars="0" w:firstLine="480" w:firstLineChars="200"/>
        <w:rPr>
          <w:rFonts w:ascii="宋体" w:hAnsi="宋体" w:eastAsia="宋体"/>
          <w:sz w:val="24"/>
        </w:rPr>
      </w:pPr>
      <w:r>
        <w:rPr>
          <w:rFonts w:hint="eastAsia" w:ascii="宋体" w:hAnsi="宋体" w:eastAsia="宋体"/>
          <w:sz w:val="24"/>
        </w:rPr>
        <w:t>（</w:t>
      </w:r>
      <w:r>
        <w:rPr>
          <w:rFonts w:ascii="宋体" w:hAnsi="宋体" w:eastAsia="宋体"/>
          <w:sz w:val="24"/>
        </w:rPr>
        <w:t>5）对明显有违背事实的、经相关专家或评委认定无依据的、经其他投标人举证无依据的质疑，列入不良投标人名单。</w:t>
      </w:r>
    </w:p>
    <w:p w14:paraId="4EE96DCC">
      <w:pPr>
        <w:pStyle w:val="2"/>
        <w:spacing w:after="0" w:line="180" w:lineRule="auto"/>
        <w:ind w:left="0" w:leftChars="0" w:firstLine="480" w:firstLineChars="200"/>
        <w:rPr>
          <w:rFonts w:ascii="宋体" w:hAnsi="宋体" w:eastAsia="宋体"/>
          <w:sz w:val="24"/>
        </w:rPr>
      </w:pPr>
      <w:r>
        <w:rPr>
          <w:rFonts w:hint="eastAsia" w:ascii="宋体" w:hAnsi="宋体" w:eastAsia="宋体"/>
          <w:sz w:val="24"/>
        </w:rPr>
        <w:t>（</w:t>
      </w:r>
      <w:r>
        <w:rPr>
          <w:rFonts w:ascii="宋体" w:hAnsi="宋体" w:eastAsia="宋体"/>
          <w:sz w:val="24"/>
        </w:rPr>
        <w:t>6）质疑人承担使用虚假材料或恶意方式质疑的法律责任。</w:t>
      </w:r>
    </w:p>
    <w:p w14:paraId="6C25FCEE">
      <w:pPr>
        <w:pStyle w:val="2"/>
        <w:spacing w:after="0" w:line="180" w:lineRule="auto"/>
        <w:ind w:left="0" w:leftChars="0"/>
        <w:rPr>
          <w:rFonts w:ascii="宋体" w:hAnsi="宋体" w:eastAsia="宋体"/>
          <w:b/>
          <w:sz w:val="24"/>
        </w:rPr>
      </w:pPr>
      <w:r>
        <w:rPr>
          <w:rFonts w:hint="eastAsia" w:ascii="宋体" w:hAnsi="宋体" w:eastAsia="宋体"/>
          <w:b/>
          <w:sz w:val="24"/>
        </w:rPr>
        <w:t>四、无佐证材料的举报作违约处理</w:t>
      </w:r>
    </w:p>
    <w:p w14:paraId="08651DCA">
      <w:pPr>
        <w:pStyle w:val="2"/>
        <w:spacing w:after="0" w:line="180" w:lineRule="auto"/>
        <w:ind w:left="0" w:leftChars="0" w:firstLine="480" w:firstLineChars="200"/>
        <w:rPr>
          <w:rFonts w:ascii="宋体" w:hAnsi="宋体" w:eastAsia="宋体"/>
          <w:sz w:val="24"/>
        </w:rPr>
      </w:pPr>
      <w:r>
        <w:rPr>
          <w:rFonts w:hint="eastAsia" w:ascii="宋体" w:hAnsi="宋体" w:eastAsia="宋体"/>
          <w:sz w:val="24"/>
        </w:rPr>
        <w:t>投标人不得进行不提供相关佐证材料向有关部门的举报，否则对其在</w:t>
      </w:r>
      <w:r>
        <w:rPr>
          <w:rFonts w:ascii="宋体" w:hAnsi="宋体" w:eastAsia="宋体"/>
          <w:sz w:val="24"/>
        </w:rPr>
        <w:t>1至3年内禁入招标人的招标活动。</w:t>
      </w:r>
    </w:p>
    <w:p w14:paraId="2A349471">
      <w:pPr>
        <w:pStyle w:val="2"/>
        <w:spacing w:after="0" w:line="180" w:lineRule="auto"/>
        <w:ind w:left="0" w:leftChars="0" w:firstLine="480" w:firstLineChars="200"/>
        <w:rPr>
          <w:rFonts w:ascii="宋体" w:hAnsi="宋体" w:eastAsia="宋体"/>
          <w:sz w:val="24"/>
        </w:rPr>
      </w:pPr>
      <w:r>
        <w:rPr>
          <w:rFonts w:hint="eastAsia" w:ascii="宋体" w:hAnsi="宋体" w:eastAsia="宋体"/>
          <w:sz w:val="24"/>
        </w:rPr>
        <w:t>无法查实的如宣传册、媒体报道、猜测、推理等，不作为相关佐证材料。</w:t>
      </w:r>
    </w:p>
    <w:p w14:paraId="3E2F8685">
      <w:pPr>
        <w:pStyle w:val="2"/>
        <w:spacing w:after="0" w:line="180" w:lineRule="auto"/>
        <w:ind w:left="0" w:leftChars="0"/>
        <w:rPr>
          <w:rFonts w:ascii="宋体" w:hAnsi="宋体" w:eastAsia="宋体"/>
          <w:b/>
          <w:sz w:val="24"/>
        </w:rPr>
      </w:pPr>
      <w:r>
        <w:rPr>
          <w:rFonts w:hint="eastAsia" w:ascii="宋体" w:hAnsi="宋体" w:eastAsia="宋体"/>
          <w:b/>
          <w:sz w:val="24"/>
        </w:rPr>
        <w:t>五、投诉的提出</w:t>
      </w:r>
    </w:p>
    <w:p w14:paraId="4048837E">
      <w:pPr>
        <w:pStyle w:val="2"/>
        <w:spacing w:after="0" w:line="180" w:lineRule="auto"/>
        <w:ind w:left="0" w:leftChars="0" w:firstLine="480" w:firstLineChars="200"/>
        <w:rPr>
          <w:rFonts w:ascii="宋体" w:hAnsi="宋体" w:eastAsia="宋体"/>
          <w:sz w:val="24"/>
        </w:rPr>
      </w:pPr>
      <w:r>
        <w:rPr>
          <w:rFonts w:hint="eastAsia" w:ascii="宋体" w:hAnsi="宋体" w:eastAsia="宋体"/>
          <w:sz w:val="24"/>
        </w:rPr>
        <w:t>质疑人对招标人的答复不满意或者招标人未在规定的时间内做出答复的，可以在答复期满后</w:t>
      </w:r>
      <w:r>
        <w:rPr>
          <w:rFonts w:ascii="宋体" w:hAnsi="宋体" w:eastAsia="宋体"/>
          <w:sz w:val="24"/>
        </w:rPr>
        <w:t>15个工作日内向招标人的上级主管部门投诉。</w:t>
      </w:r>
    </w:p>
    <w:p w14:paraId="38E9572F">
      <w:pPr>
        <w:pStyle w:val="2"/>
        <w:spacing w:after="0" w:line="180" w:lineRule="auto"/>
        <w:ind w:left="0" w:leftChars="0"/>
        <w:rPr>
          <w:rFonts w:ascii="宋体" w:hAnsi="宋体" w:eastAsia="宋体"/>
          <w:b/>
          <w:sz w:val="24"/>
        </w:rPr>
      </w:pPr>
      <w:r>
        <w:rPr>
          <w:rFonts w:hint="eastAsia" w:ascii="宋体" w:hAnsi="宋体" w:eastAsia="宋体"/>
          <w:b/>
          <w:sz w:val="24"/>
        </w:rPr>
        <w:t>六、投诉不成立的作违约处理</w:t>
      </w:r>
    </w:p>
    <w:p w14:paraId="6AC27AD1">
      <w:pPr>
        <w:pStyle w:val="2"/>
        <w:spacing w:after="0" w:line="180" w:lineRule="auto"/>
        <w:ind w:left="0" w:leftChars="0" w:firstLine="480" w:firstLineChars="200"/>
        <w:rPr>
          <w:rFonts w:ascii="宋体" w:hAnsi="宋体" w:eastAsia="宋体"/>
          <w:sz w:val="24"/>
        </w:rPr>
      </w:pPr>
      <w:r>
        <w:rPr>
          <w:rFonts w:hint="eastAsia" w:ascii="宋体" w:hAnsi="宋体" w:eastAsia="宋体"/>
          <w:sz w:val="24"/>
        </w:rPr>
        <w:t>投标人进行质疑后，招标人回复质疑不成立，投标人仍进行投诉的，并最终投诉不成立的，对其在</w:t>
      </w:r>
      <w:r>
        <w:rPr>
          <w:rFonts w:ascii="宋体" w:hAnsi="宋体" w:eastAsia="宋体"/>
          <w:sz w:val="24"/>
        </w:rPr>
        <w:t>1至3年内禁入招标人的招标活动。</w:t>
      </w:r>
    </w:p>
    <w:p w14:paraId="41EE8E79">
      <w:pPr>
        <w:pStyle w:val="2"/>
        <w:spacing w:after="0" w:line="180" w:lineRule="auto"/>
        <w:ind w:left="0" w:leftChars="0"/>
        <w:rPr>
          <w:rFonts w:ascii="宋体" w:hAnsi="宋体" w:eastAsia="宋体"/>
          <w:b/>
          <w:sz w:val="24"/>
        </w:rPr>
      </w:pPr>
      <w:r>
        <w:rPr>
          <w:rFonts w:hint="eastAsia" w:ascii="宋体" w:hAnsi="宋体" w:eastAsia="宋体"/>
          <w:b/>
          <w:sz w:val="24"/>
        </w:rPr>
        <w:t>七、质疑、举报、投诉不成立的等相关情况</w:t>
      </w:r>
    </w:p>
    <w:p w14:paraId="77DC9D08">
      <w:pPr>
        <w:pStyle w:val="2"/>
        <w:spacing w:after="0" w:line="180" w:lineRule="auto"/>
        <w:ind w:left="0" w:leftChars="0" w:firstLine="480" w:firstLineChars="200"/>
        <w:rPr>
          <w:rFonts w:ascii="宋体" w:hAnsi="宋体" w:eastAsia="宋体"/>
          <w:sz w:val="24"/>
        </w:rPr>
      </w:pPr>
      <w:r>
        <w:rPr>
          <w:rFonts w:hint="eastAsia" w:ascii="宋体" w:hAnsi="宋体" w:eastAsia="宋体"/>
          <w:sz w:val="24"/>
        </w:rPr>
        <w:t>《质疑函》、《质疑回复函》，质疑、举报、投诉不成立的等相关情况，视情在省市、国家级等相关媒体予以披露。</w:t>
      </w:r>
    </w:p>
    <w:p w14:paraId="65813D61">
      <w:pPr>
        <w:pStyle w:val="3"/>
      </w:pPr>
    </w:p>
    <w:p w14:paraId="2A1CADA6">
      <w:pPr>
        <w:pStyle w:val="3"/>
      </w:pPr>
    </w:p>
    <w:p w14:paraId="293E7300">
      <w:pPr>
        <w:pStyle w:val="3"/>
      </w:pPr>
    </w:p>
    <w:p w14:paraId="5BCE9B98">
      <w:pPr>
        <w:pStyle w:val="3"/>
      </w:pPr>
    </w:p>
    <w:p w14:paraId="2033F2D5">
      <w:pPr>
        <w:pStyle w:val="3"/>
      </w:pPr>
    </w:p>
    <w:p w14:paraId="03F79C57">
      <w:pPr>
        <w:pStyle w:val="3"/>
      </w:pPr>
    </w:p>
    <w:p w14:paraId="4D35699B">
      <w:pPr>
        <w:pStyle w:val="3"/>
      </w:pPr>
    </w:p>
    <w:p w14:paraId="15213B66">
      <w:pPr>
        <w:pStyle w:val="3"/>
      </w:pPr>
    </w:p>
    <w:p w14:paraId="36F07499">
      <w:pPr>
        <w:pStyle w:val="3"/>
      </w:pPr>
    </w:p>
    <w:p w14:paraId="41B5E26E">
      <w:pPr>
        <w:pStyle w:val="3"/>
      </w:pPr>
    </w:p>
    <w:p w14:paraId="79BC6F6C">
      <w:pPr>
        <w:pStyle w:val="3"/>
      </w:pPr>
    </w:p>
    <w:p w14:paraId="4D0B7DCA">
      <w:pPr>
        <w:pStyle w:val="3"/>
      </w:pPr>
    </w:p>
    <w:p w14:paraId="4CE59C74">
      <w:pPr>
        <w:pStyle w:val="3"/>
      </w:pPr>
    </w:p>
    <w:p w14:paraId="1FAFE177">
      <w:pPr>
        <w:pStyle w:val="3"/>
      </w:pPr>
    </w:p>
    <w:p w14:paraId="3969451C">
      <w:pPr>
        <w:pStyle w:val="3"/>
      </w:pPr>
    </w:p>
    <w:p w14:paraId="168D0377">
      <w:pPr>
        <w:pStyle w:val="3"/>
      </w:pPr>
    </w:p>
    <w:p w14:paraId="3ACA99DD">
      <w:pPr>
        <w:pStyle w:val="3"/>
      </w:pPr>
    </w:p>
    <w:p w14:paraId="097D7E84">
      <w:pPr>
        <w:pStyle w:val="3"/>
      </w:pPr>
    </w:p>
    <w:p w14:paraId="2E6B4F84">
      <w:pPr>
        <w:pStyle w:val="3"/>
      </w:pPr>
    </w:p>
    <w:p w14:paraId="65D65251">
      <w:pPr>
        <w:pStyle w:val="3"/>
      </w:pPr>
    </w:p>
    <w:p w14:paraId="6A20E5AF">
      <w:pPr>
        <w:jc w:val="center"/>
        <w:rPr>
          <w:rFonts w:ascii="宋体" w:hAnsi="宋体" w:eastAsia="宋体" w:cstheme="minorEastAsia"/>
          <w:sz w:val="36"/>
          <w:szCs w:val="36"/>
        </w:rPr>
      </w:pPr>
      <w:r>
        <w:rPr>
          <w:rFonts w:hint="eastAsia" w:ascii="宋体" w:hAnsi="宋体" w:eastAsia="宋体" w:cstheme="minorEastAsia"/>
          <w:sz w:val="36"/>
          <w:szCs w:val="36"/>
        </w:rPr>
        <w:t>第七部分  投标文件组成</w:t>
      </w:r>
    </w:p>
    <w:p w14:paraId="0B1858DF">
      <w:pPr>
        <w:autoSpaceDE w:val="0"/>
        <w:autoSpaceDN w:val="0"/>
        <w:adjustRightInd w:val="0"/>
        <w:spacing w:line="360" w:lineRule="auto"/>
        <w:ind w:firstLine="482" w:firstLineChars="200"/>
        <w:rPr>
          <w:rFonts w:ascii="宋体" w:hAnsi="宋体" w:eastAsia="宋体" w:cs="宋体"/>
          <w:color w:val="000000"/>
          <w:sz w:val="24"/>
        </w:rPr>
      </w:pPr>
      <w:r>
        <w:rPr>
          <w:rFonts w:hint="eastAsia" w:ascii="宋体" w:hAnsi="宋体" w:eastAsia="宋体" w:cs="宋体"/>
          <w:b/>
          <w:color w:val="000000"/>
          <w:sz w:val="24"/>
        </w:rPr>
        <w:t>附件：</w:t>
      </w:r>
    </w:p>
    <w:p w14:paraId="401624E0">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1、法定代表人身份证明</w:t>
      </w:r>
    </w:p>
    <w:p w14:paraId="2C917241">
      <w:pPr>
        <w:spacing w:line="360" w:lineRule="auto"/>
        <w:rPr>
          <w:rFonts w:ascii="宋体" w:hAnsi="宋体" w:eastAsia="宋体" w:cs="宋体"/>
          <w:sz w:val="24"/>
        </w:rPr>
      </w:pPr>
      <w:r>
        <w:rPr>
          <w:rFonts w:hint="eastAsia" w:ascii="宋体" w:hAnsi="宋体" w:eastAsia="宋体" w:cs="宋体"/>
          <w:color w:val="000000"/>
          <w:sz w:val="24"/>
          <w:u w:val="single"/>
          <w:lang w:val="en-US" w:eastAsia="zh-CN"/>
        </w:rPr>
        <w:t>南通通湾旅游开发有限公司金石国际大酒店</w:t>
      </w:r>
      <w:r>
        <w:rPr>
          <w:rFonts w:hint="eastAsia" w:ascii="宋体" w:hAnsi="宋体" w:eastAsia="宋体" w:cs="宋体"/>
          <w:sz w:val="24"/>
        </w:rPr>
        <w:t>：</w:t>
      </w:r>
    </w:p>
    <w:p w14:paraId="62D8E906">
      <w:pPr>
        <w:spacing w:line="360" w:lineRule="auto"/>
        <w:ind w:firstLine="480" w:firstLineChars="200"/>
        <w:rPr>
          <w:rFonts w:ascii="宋体" w:hAnsi="宋体" w:eastAsia="宋体" w:cs="宋体"/>
          <w:sz w:val="24"/>
        </w:rPr>
      </w:pPr>
      <w:r>
        <w:rPr>
          <w:rFonts w:hint="eastAsia" w:ascii="宋体" w:hAnsi="宋体" w:eastAsia="宋体" w:cs="宋体"/>
          <w:sz w:val="24"/>
        </w:rPr>
        <w:t>我公司法定代表人参加贵单位组织的</w:t>
      </w:r>
      <w:r>
        <w:rPr>
          <w:rFonts w:hint="eastAsia" w:ascii="宋体" w:hAnsi="宋体" w:eastAsia="宋体" w:cs="宋体"/>
          <w:sz w:val="24"/>
          <w:u w:val="single"/>
        </w:rPr>
        <w:t xml:space="preserve">                （项目名称)</w:t>
      </w:r>
      <w:r>
        <w:rPr>
          <w:rFonts w:hint="eastAsia" w:ascii="宋体" w:hAnsi="宋体" w:eastAsia="宋体" w:cs="宋体"/>
          <w:sz w:val="24"/>
        </w:rPr>
        <w:t>项目公开招标采购活动，全权代表我公司处理投标的有关事宜。</w:t>
      </w:r>
    </w:p>
    <w:p w14:paraId="36707AF9">
      <w:pPr>
        <w:spacing w:line="360" w:lineRule="auto"/>
        <w:ind w:firstLine="480" w:firstLineChars="200"/>
        <w:rPr>
          <w:rFonts w:ascii="宋体" w:hAnsi="宋体" w:eastAsia="宋体" w:cs="宋体"/>
          <w:sz w:val="24"/>
        </w:rPr>
      </w:pPr>
    </w:p>
    <w:p w14:paraId="142A7C99">
      <w:pPr>
        <w:spacing w:line="360" w:lineRule="auto"/>
        <w:rPr>
          <w:rFonts w:ascii="宋体" w:hAnsi="宋体" w:eastAsia="宋体" w:cs="宋体"/>
          <w:sz w:val="24"/>
        </w:rPr>
      </w:pPr>
      <w:r>
        <w:rPr>
          <w:rFonts w:hint="eastAsia" w:ascii="宋体" w:hAnsi="宋体" w:eastAsia="宋体" w:cs="宋体"/>
          <w:sz w:val="24"/>
        </w:rPr>
        <w:t>附：法定代表人情况：</w:t>
      </w:r>
    </w:p>
    <w:p w14:paraId="3CFAC0C4">
      <w:pPr>
        <w:spacing w:line="360" w:lineRule="auto"/>
        <w:rPr>
          <w:rFonts w:ascii="宋体" w:hAnsi="宋体" w:eastAsia="宋体" w:cs="宋体"/>
          <w:sz w:val="24"/>
          <w:u w:val="single"/>
        </w:rPr>
      </w:pPr>
      <w:r>
        <w:rPr>
          <w:rFonts w:hint="eastAsia" w:ascii="宋体" w:hAnsi="宋体" w:eastAsia="宋体" w:cs="宋体"/>
          <w:sz w:val="24"/>
        </w:rPr>
        <w:t xml:space="preserve">姓名：  </w:t>
      </w:r>
      <w:r>
        <w:rPr>
          <w:rFonts w:ascii="宋体" w:hAnsi="宋体" w:eastAsia="宋体" w:cs="宋体"/>
          <w:sz w:val="24"/>
        </w:rPr>
        <w:t xml:space="preserve">   </w:t>
      </w:r>
      <w:r>
        <w:rPr>
          <w:rFonts w:hint="eastAsia" w:ascii="宋体" w:hAnsi="宋体" w:eastAsia="宋体" w:cs="宋体"/>
          <w:sz w:val="24"/>
        </w:rPr>
        <w:t xml:space="preserve">  性别：   </w:t>
      </w:r>
      <w:r>
        <w:rPr>
          <w:rFonts w:ascii="宋体" w:hAnsi="宋体" w:eastAsia="宋体" w:cs="宋体"/>
          <w:sz w:val="24"/>
        </w:rPr>
        <w:t xml:space="preserve">     </w:t>
      </w:r>
      <w:r>
        <w:rPr>
          <w:rFonts w:hint="eastAsia" w:ascii="宋体" w:hAnsi="宋体" w:eastAsia="宋体" w:cs="宋体"/>
          <w:sz w:val="24"/>
        </w:rPr>
        <w:t xml:space="preserve"> 年龄： </w:t>
      </w:r>
      <w:r>
        <w:rPr>
          <w:rFonts w:ascii="宋体" w:hAnsi="宋体" w:eastAsia="宋体" w:cs="宋体"/>
          <w:sz w:val="24"/>
        </w:rPr>
        <w:t xml:space="preserve">      </w:t>
      </w:r>
      <w:r>
        <w:rPr>
          <w:rFonts w:hint="eastAsia" w:ascii="宋体" w:hAnsi="宋体" w:eastAsia="宋体" w:cs="宋体"/>
          <w:sz w:val="24"/>
        </w:rPr>
        <w:t xml:space="preserve">  职务：</w:t>
      </w:r>
    </w:p>
    <w:p w14:paraId="7AC1E81B">
      <w:pPr>
        <w:spacing w:line="360" w:lineRule="auto"/>
        <w:rPr>
          <w:rFonts w:ascii="宋体" w:hAnsi="宋体" w:eastAsia="宋体" w:cs="宋体"/>
          <w:sz w:val="24"/>
        </w:rPr>
      </w:pPr>
      <w:r>
        <w:rPr>
          <w:rFonts w:hint="eastAsia" w:ascii="宋体" w:hAnsi="宋体" w:eastAsia="宋体" w:cs="宋体"/>
          <w:sz w:val="24"/>
        </w:rPr>
        <w:t>身份证号码：</w:t>
      </w:r>
    </w:p>
    <w:p w14:paraId="7BF249E4">
      <w:pPr>
        <w:spacing w:line="360" w:lineRule="auto"/>
        <w:rPr>
          <w:rFonts w:ascii="宋体" w:hAnsi="宋体" w:eastAsia="宋体" w:cs="宋体"/>
          <w:sz w:val="24"/>
        </w:rPr>
      </w:pPr>
      <w:r>
        <w:rPr>
          <w:rFonts w:hint="eastAsia" w:ascii="宋体" w:hAnsi="宋体" w:eastAsia="宋体" w:cs="宋体"/>
          <w:sz w:val="24"/>
        </w:rPr>
        <w:t>手机：      传真：</w:t>
      </w:r>
    </w:p>
    <w:p w14:paraId="1909BA39">
      <w:pPr>
        <w:spacing w:line="360" w:lineRule="auto"/>
        <w:rPr>
          <w:rFonts w:ascii="宋体" w:hAnsi="宋体" w:eastAsia="宋体" w:cs="宋体"/>
          <w:sz w:val="24"/>
        </w:rPr>
      </w:pPr>
      <w:r>
        <w:rPr>
          <w:rFonts w:hint="eastAsia" w:ascii="宋体" w:hAnsi="宋体" w:eastAsia="宋体" w:cs="宋体"/>
          <w:sz w:val="24"/>
        </w:rPr>
        <w:t>单位名称（公章）             法定代表人（签字或盖章）</w:t>
      </w:r>
    </w:p>
    <w:p w14:paraId="2539E311">
      <w:pPr>
        <w:spacing w:line="360" w:lineRule="auto"/>
        <w:ind w:firstLine="1200" w:firstLineChars="500"/>
        <w:rPr>
          <w:rFonts w:ascii="宋体" w:hAnsi="宋体" w:eastAsia="宋体" w:cs="宋体"/>
          <w:sz w:val="24"/>
        </w:rPr>
      </w:pPr>
      <w:r>
        <w:rPr>
          <w:rFonts w:hint="eastAsia" w:ascii="宋体" w:hAnsi="宋体" w:eastAsia="宋体" w:cs="宋体"/>
          <w:sz w:val="24"/>
        </w:rPr>
        <w:t xml:space="preserve">年   月   日                 年   月    日  </w:t>
      </w:r>
    </w:p>
    <w:p w14:paraId="38C8CC28">
      <w:pPr>
        <w:spacing w:line="360" w:lineRule="auto"/>
        <w:rPr>
          <w:rFonts w:ascii="宋体" w:hAnsi="宋体" w:eastAsia="宋体" w:cs="宋体"/>
          <w:sz w:val="24"/>
        </w:rPr>
      </w:pPr>
    </w:p>
    <w:p w14:paraId="0A4CF13A">
      <w:pPr>
        <w:spacing w:line="360" w:lineRule="auto"/>
        <w:rPr>
          <w:rFonts w:ascii="宋体" w:hAnsi="宋体" w:eastAsia="宋体" w:cs="宋体"/>
          <w:sz w:val="24"/>
        </w:rPr>
      </w:pPr>
    </w:p>
    <w:p w14:paraId="44CEF79E">
      <w:pPr>
        <w:spacing w:line="360" w:lineRule="auto"/>
        <w:rPr>
          <w:rFonts w:ascii="宋体" w:hAnsi="宋体" w:eastAsia="宋体" w:cs="宋体"/>
          <w:sz w:val="24"/>
        </w:rPr>
      </w:pPr>
      <w:r>
        <w:rPr>
          <w:rFonts w:hint="eastAsia" w:ascii="宋体" w:hAnsi="宋体" w:eastAsia="宋体" w:cs="宋体"/>
          <w:sz w:val="24"/>
        </w:rPr>
        <w:t>法定代表人身份证正反面复印件</w:t>
      </w:r>
    </w:p>
    <w:p w14:paraId="52FE2F0E">
      <w:pPr>
        <w:spacing w:line="360" w:lineRule="auto"/>
        <w:rPr>
          <w:rFonts w:ascii="宋体" w:hAnsi="宋体" w:eastAsia="宋体" w:cs="宋体"/>
          <w:sz w:val="24"/>
        </w:rPr>
      </w:pPr>
    </w:p>
    <w:p w14:paraId="7C6010F0">
      <w:pPr>
        <w:spacing w:line="360" w:lineRule="auto"/>
        <w:ind w:firstLine="2280" w:firstLineChars="950"/>
        <w:rPr>
          <w:rFonts w:ascii="宋体" w:hAnsi="宋体" w:eastAsia="宋体" w:cs="宋体"/>
          <w:sz w:val="24"/>
        </w:rPr>
      </w:pPr>
      <w:r>
        <w:rPr>
          <w:rFonts w:hint="eastAsia" w:ascii="宋体" w:hAnsi="宋体" w:eastAsia="宋体" w:cs="宋体"/>
          <w:sz w:val="24"/>
        </w:rPr>
        <w:t>（粘贴此处）</w:t>
      </w:r>
    </w:p>
    <w:p w14:paraId="0C76B3C3">
      <w:pPr>
        <w:spacing w:line="360" w:lineRule="auto"/>
        <w:ind w:firstLine="2289" w:firstLineChars="950"/>
        <w:rPr>
          <w:rFonts w:ascii="宋体" w:hAnsi="宋体" w:eastAsia="宋体" w:cs="宋体"/>
          <w:b/>
          <w:bCs/>
          <w:sz w:val="24"/>
        </w:rPr>
      </w:pPr>
    </w:p>
    <w:p w14:paraId="40DAFAF5">
      <w:pPr>
        <w:spacing w:line="360" w:lineRule="auto"/>
        <w:jc w:val="center"/>
        <w:rPr>
          <w:rFonts w:ascii="宋体" w:hAnsi="宋体" w:eastAsia="宋体" w:cs="宋体"/>
          <w:b/>
          <w:bCs/>
          <w:sz w:val="28"/>
          <w:szCs w:val="28"/>
        </w:rPr>
      </w:pPr>
      <w:r>
        <w:rPr>
          <w:rFonts w:hint="eastAsia" w:ascii="宋体" w:hAnsi="宋体" w:eastAsia="宋体" w:cs="宋体"/>
          <w:b/>
          <w:bCs/>
          <w:sz w:val="24"/>
        </w:rPr>
        <w:br w:type="page"/>
      </w:r>
      <w:r>
        <w:rPr>
          <w:rFonts w:hint="eastAsia" w:ascii="宋体" w:hAnsi="宋体" w:eastAsia="宋体" w:cs="宋体"/>
          <w:b/>
          <w:bCs/>
          <w:sz w:val="28"/>
          <w:szCs w:val="28"/>
        </w:rPr>
        <w:t>2、授权委托书</w:t>
      </w:r>
    </w:p>
    <w:p w14:paraId="2BDA6EE8">
      <w:pPr>
        <w:snapToGrid w:val="0"/>
        <w:spacing w:line="360" w:lineRule="auto"/>
        <w:rPr>
          <w:rFonts w:ascii="宋体" w:hAnsi="宋体" w:eastAsia="宋体" w:cs="宋体"/>
          <w:color w:val="000000"/>
          <w:sz w:val="24"/>
          <w:u w:val="single"/>
        </w:rPr>
      </w:pPr>
    </w:p>
    <w:p w14:paraId="75DD9551">
      <w:pPr>
        <w:snapToGrid w:val="0"/>
        <w:spacing w:line="360" w:lineRule="auto"/>
        <w:rPr>
          <w:rFonts w:ascii="宋体" w:hAnsi="宋体" w:eastAsia="宋体" w:cs="宋体"/>
          <w:bCs/>
          <w:sz w:val="24"/>
        </w:rPr>
      </w:pPr>
      <w:r>
        <w:rPr>
          <w:rFonts w:hint="eastAsia" w:ascii="宋体" w:hAnsi="宋体" w:eastAsia="宋体" w:cs="宋体"/>
          <w:color w:val="000000"/>
          <w:sz w:val="24"/>
          <w:u w:val="single"/>
          <w:lang w:val="en-US" w:eastAsia="zh-CN"/>
        </w:rPr>
        <w:t>南通通湾旅游开发有限公司金石国际大酒店</w:t>
      </w:r>
      <w:r>
        <w:rPr>
          <w:rFonts w:hint="eastAsia" w:ascii="宋体" w:hAnsi="宋体" w:eastAsia="宋体" w:cs="宋体"/>
          <w:bCs/>
          <w:sz w:val="24"/>
        </w:rPr>
        <w:t>：</w:t>
      </w:r>
    </w:p>
    <w:p w14:paraId="50B638D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兹授权</w:t>
      </w:r>
      <w:r>
        <w:rPr>
          <w:rFonts w:hint="eastAsia" w:ascii="宋体" w:hAnsi="宋体" w:eastAsia="宋体" w:cs="宋体"/>
          <w:sz w:val="24"/>
          <w:u w:val="single"/>
        </w:rPr>
        <w:t xml:space="preserve">               （</w:t>
      </w:r>
      <w:r>
        <w:rPr>
          <w:rFonts w:hint="eastAsia" w:ascii="宋体" w:hAnsi="宋体" w:eastAsia="宋体" w:cs="宋体"/>
          <w:sz w:val="24"/>
        </w:rPr>
        <w:t>被授权人的姓名）代表我公司参加</w:t>
      </w:r>
      <w:r>
        <w:rPr>
          <w:rFonts w:hint="eastAsia" w:ascii="宋体" w:hAnsi="宋体" w:eastAsia="宋体" w:cs="宋体"/>
          <w:sz w:val="24"/>
          <w:u w:val="single"/>
        </w:rPr>
        <w:t xml:space="preserve">          （项目名称)</w:t>
      </w:r>
      <w:r>
        <w:rPr>
          <w:rFonts w:hint="eastAsia" w:ascii="宋体" w:hAnsi="宋体" w:eastAsia="宋体" w:cs="宋体"/>
          <w:sz w:val="24"/>
        </w:rPr>
        <w:t>项目的采购活动，全权处理一切与该项目公开招标有关的事务。其在办理上述事宜过程中所签署的所有文件我公司均予以承认。</w:t>
      </w:r>
    </w:p>
    <w:p w14:paraId="79B05A9C">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被授权人无转委托权，特此委托。</w:t>
      </w:r>
    </w:p>
    <w:p w14:paraId="7D911B30">
      <w:pPr>
        <w:adjustRightInd w:val="0"/>
        <w:snapToGrid w:val="0"/>
        <w:spacing w:line="360" w:lineRule="auto"/>
        <w:ind w:firstLine="480" w:firstLineChars="200"/>
        <w:jc w:val="left"/>
        <w:rPr>
          <w:rFonts w:ascii="宋体" w:hAnsi="宋体" w:eastAsia="宋体" w:cs="宋体"/>
          <w:sz w:val="24"/>
        </w:rPr>
      </w:pPr>
    </w:p>
    <w:p w14:paraId="42CCFED7">
      <w:pPr>
        <w:spacing w:line="360" w:lineRule="auto"/>
        <w:rPr>
          <w:rFonts w:ascii="宋体" w:hAnsi="宋体" w:eastAsia="宋体" w:cs="宋体"/>
          <w:sz w:val="24"/>
        </w:rPr>
      </w:pPr>
      <w:r>
        <w:rPr>
          <w:rFonts w:hint="eastAsia" w:ascii="宋体" w:hAnsi="宋体" w:eastAsia="宋体" w:cs="宋体"/>
          <w:sz w:val="24"/>
        </w:rPr>
        <w:t>附：被授权人情况：</w:t>
      </w:r>
    </w:p>
    <w:p w14:paraId="4D59686E">
      <w:pPr>
        <w:spacing w:line="360" w:lineRule="auto"/>
        <w:rPr>
          <w:rFonts w:ascii="宋体" w:hAnsi="宋体" w:eastAsia="宋体" w:cs="宋体"/>
          <w:sz w:val="24"/>
          <w:u w:val="single"/>
        </w:rPr>
      </w:pPr>
      <w:r>
        <w:rPr>
          <w:rFonts w:hint="eastAsia" w:ascii="宋体" w:hAnsi="宋体" w:eastAsia="宋体" w:cs="宋体"/>
          <w:sz w:val="24"/>
        </w:rPr>
        <w:t>姓名：       性别：      年龄：     职务：</w:t>
      </w:r>
    </w:p>
    <w:p w14:paraId="7A081422">
      <w:pPr>
        <w:spacing w:line="360" w:lineRule="auto"/>
        <w:rPr>
          <w:rFonts w:ascii="宋体" w:hAnsi="宋体" w:eastAsia="宋体" w:cs="宋体"/>
          <w:sz w:val="24"/>
        </w:rPr>
      </w:pPr>
      <w:r>
        <w:rPr>
          <w:rFonts w:hint="eastAsia" w:ascii="宋体" w:hAnsi="宋体" w:eastAsia="宋体" w:cs="宋体"/>
          <w:sz w:val="24"/>
        </w:rPr>
        <w:t>身份证号码：</w:t>
      </w:r>
    </w:p>
    <w:p w14:paraId="22F943D4">
      <w:pPr>
        <w:spacing w:line="360" w:lineRule="auto"/>
        <w:rPr>
          <w:rFonts w:ascii="宋体" w:hAnsi="宋体" w:eastAsia="宋体" w:cs="宋体"/>
          <w:sz w:val="24"/>
        </w:rPr>
      </w:pPr>
      <w:r>
        <w:rPr>
          <w:rFonts w:hint="eastAsia" w:ascii="宋体" w:hAnsi="宋体" w:eastAsia="宋体" w:cs="宋体"/>
          <w:sz w:val="24"/>
        </w:rPr>
        <w:t>手机：       传真：</w:t>
      </w:r>
    </w:p>
    <w:p w14:paraId="4FABF002">
      <w:pPr>
        <w:spacing w:line="360" w:lineRule="auto"/>
        <w:rPr>
          <w:rFonts w:ascii="宋体" w:hAnsi="宋体" w:eastAsia="宋体" w:cs="宋体"/>
          <w:sz w:val="24"/>
        </w:rPr>
      </w:pPr>
      <w:r>
        <w:rPr>
          <w:rFonts w:hint="eastAsia" w:ascii="宋体" w:hAnsi="宋体" w:eastAsia="宋体" w:cs="宋体"/>
          <w:sz w:val="24"/>
        </w:rPr>
        <w:t>单位名称（公章）             法定代表人（签字或盖章）</w:t>
      </w:r>
    </w:p>
    <w:p w14:paraId="12236E52">
      <w:pPr>
        <w:spacing w:line="360" w:lineRule="auto"/>
        <w:ind w:firstLine="1200" w:firstLineChars="500"/>
        <w:rPr>
          <w:rFonts w:ascii="宋体" w:hAnsi="宋体" w:eastAsia="宋体" w:cs="宋体"/>
          <w:sz w:val="24"/>
        </w:rPr>
      </w:pPr>
      <w:r>
        <w:rPr>
          <w:rFonts w:hint="eastAsia" w:ascii="宋体" w:hAnsi="宋体" w:eastAsia="宋体" w:cs="宋体"/>
          <w:sz w:val="24"/>
        </w:rPr>
        <w:t xml:space="preserve">年   月   日                 年   月    日  </w:t>
      </w:r>
    </w:p>
    <w:p w14:paraId="744C0159">
      <w:pPr>
        <w:spacing w:line="360" w:lineRule="auto"/>
        <w:rPr>
          <w:rFonts w:ascii="宋体" w:hAnsi="宋体" w:eastAsia="宋体" w:cs="宋体"/>
          <w:sz w:val="24"/>
        </w:rPr>
      </w:pPr>
    </w:p>
    <w:p w14:paraId="22DCB110">
      <w:pPr>
        <w:spacing w:line="360" w:lineRule="auto"/>
        <w:rPr>
          <w:rFonts w:ascii="宋体" w:hAnsi="宋体" w:eastAsia="宋体" w:cs="宋体"/>
          <w:sz w:val="24"/>
        </w:rPr>
      </w:pPr>
    </w:p>
    <w:p w14:paraId="078184DD">
      <w:pPr>
        <w:spacing w:line="360" w:lineRule="auto"/>
        <w:rPr>
          <w:rFonts w:ascii="宋体" w:hAnsi="宋体" w:eastAsia="宋体" w:cs="宋体"/>
          <w:sz w:val="24"/>
        </w:rPr>
      </w:pPr>
      <w:r>
        <w:rPr>
          <w:rFonts w:hint="eastAsia" w:ascii="宋体" w:hAnsi="宋体" w:eastAsia="宋体" w:cs="宋体"/>
          <w:sz w:val="24"/>
        </w:rPr>
        <w:t>法定代表人身份证正反面复印件</w:t>
      </w:r>
    </w:p>
    <w:p w14:paraId="0ED2C1CB">
      <w:pPr>
        <w:spacing w:line="360" w:lineRule="auto"/>
        <w:rPr>
          <w:rFonts w:ascii="宋体" w:hAnsi="宋体" w:eastAsia="宋体" w:cs="宋体"/>
          <w:sz w:val="24"/>
        </w:rPr>
      </w:pPr>
    </w:p>
    <w:p w14:paraId="4661425E">
      <w:pPr>
        <w:spacing w:line="360" w:lineRule="auto"/>
        <w:rPr>
          <w:rFonts w:ascii="宋体" w:hAnsi="宋体" w:eastAsia="宋体" w:cs="宋体"/>
          <w:sz w:val="24"/>
        </w:rPr>
      </w:pPr>
    </w:p>
    <w:p w14:paraId="1C3BDDC7">
      <w:pPr>
        <w:spacing w:line="360" w:lineRule="auto"/>
        <w:rPr>
          <w:rFonts w:ascii="宋体" w:hAnsi="宋体" w:eastAsia="宋体" w:cs="宋体"/>
          <w:sz w:val="24"/>
        </w:rPr>
      </w:pPr>
    </w:p>
    <w:p w14:paraId="3FB7D5AA">
      <w:pPr>
        <w:spacing w:line="360" w:lineRule="auto"/>
        <w:rPr>
          <w:rFonts w:ascii="宋体" w:hAnsi="宋体" w:eastAsia="宋体" w:cs="宋体"/>
          <w:sz w:val="24"/>
        </w:rPr>
      </w:pPr>
    </w:p>
    <w:p w14:paraId="0A8CA158">
      <w:pPr>
        <w:spacing w:line="360" w:lineRule="auto"/>
        <w:rPr>
          <w:rFonts w:ascii="宋体" w:hAnsi="宋体" w:eastAsia="宋体" w:cs="宋体"/>
          <w:sz w:val="24"/>
        </w:rPr>
      </w:pPr>
      <w:r>
        <w:rPr>
          <w:rFonts w:hint="eastAsia" w:ascii="宋体" w:hAnsi="宋体" w:eastAsia="宋体" w:cs="宋体"/>
          <w:sz w:val="24"/>
        </w:rPr>
        <w:t>被授权人身份证正反面复印件</w:t>
      </w:r>
    </w:p>
    <w:p w14:paraId="5016647D">
      <w:pPr>
        <w:spacing w:line="360" w:lineRule="auto"/>
        <w:rPr>
          <w:rFonts w:ascii="宋体" w:hAnsi="宋体" w:eastAsia="宋体" w:cs="宋体"/>
          <w:sz w:val="24"/>
        </w:rPr>
      </w:pPr>
    </w:p>
    <w:p w14:paraId="061A001B">
      <w:pPr>
        <w:spacing w:line="360" w:lineRule="auto"/>
        <w:rPr>
          <w:rFonts w:ascii="宋体" w:hAnsi="宋体" w:eastAsia="宋体" w:cs="宋体"/>
          <w:sz w:val="24"/>
        </w:rPr>
      </w:pPr>
    </w:p>
    <w:p w14:paraId="2E82C67B">
      <w:pPr>
        <w:spacing w:line="360" w:lineRule="auto"/>
        <w:ind w:firstLine="2280" w:firstLineChars="950"/>
        <w:rPr>
          <w:rFonts w:ascii="宋体" w:hAnsi="宋体" w:eastAsia="宋体" w:cs="宋体"/>
          <w:sz w:val="24"/>
        </w:rPr>
      </w:pPr>
      <w:r>
        <w:rPr>
          <w:rFonts w:hint="eastAsia" w:ascii="宋体" w:hAnsi="宋体" w:eastAsia="宋体" w:cs="宋体"/>
          <w:sz w:val="24"/>
        </w:rPr>
        <w:t>（粘贴此处）</w:t>
      </w:r>
    </w:p>
    <w:p w14:paraId="6A0518C6">
      <w:pPr>
        <w:spacing w:line="360" w:lineRule="auto"/>
        <w:ind w:firstLine="2289" w:firstLineChars="950"/>
        <w:rPr>
          <w:rFonts w:ascii="宋体" w:hAnsi="宋体" w:eastAsia="宋体" w:cs="宋体"/>
          <w:b/>
          <w:bCs/>
          <w:sz w:val="24"/>
        </w:rPr>
      </w:pPr>
    </w:p>
    <w:p w14:paraId="609457B1">
      <w:pPr>
        <w:snapToGrid w:val="0"/>
        <w:spacing w:line="520" w:lineRule="exact"/>
        <w:ind w:firstLine="482" w:firstLineChars="200"/>
        <w:jc w:val="center"/>
        <w:rPr>
          <w:rFonts w:hint="eastAsia" w:ascii="宋体" w:hAnsi="宋体" w:eastAsia="宋体" w:cs="宋体"/>
          <w:b/>
          <w:bCs/>
          <w:sz w:val="28"/>
          <w:szCs w:val="28"/>
        </w:rPr>
      </w:pPr>
      <w:r>
        <w:rPr>
          <w:rFonts w:hint="eastAsia" w:ascii="宋体" w:hAnsi="宋体" w:eastAsia="宋体" w:cs="宋体"/>
          <w:b/>
          <w:bCs/>
          <w:sz w:val="24"/>
        </w:rPr>
        <w:br w:type="page"/>
      </w:r>
      <w:r>
        <w:rPr>
          <w:rFonts w:hint="eastAsia" w:ascii="宋体" w:hAnsi="宋体" w:eastAsia="宋体" w:cs="宋体"/>
          <w:b/>
          <w:bCs/>
          <w:sz w:val="28"/>
          <w:szCs w:val="28"/>
        </w:rPr>
        <w:t>3.无重大违法记录声明</w:t>
      </w:r>
    </w:p>
    <w:p w14:paraId="35F5137E">
      <w:pPr>
        <w:snapToGrid w:val="0"/>
        <w:spacing w:line="520" w:lineRule="exact"/>
        <w:ind w:firstLine="480" w:firstLineChars="200"/>
        <w:rPr>
          <w:rFonts w:ascii="宋体" w:hAnsi="宋体" w:cs="宋体"/>
          <w:sz w:val="24"/>
          <w:u w:val="single"/>
        </w:rPr>
      </w:pPr>
      <w:r>
        <w:rPr>
          <w:rFonts w:hint="eastAsia" w:ascii="宋体" w:hAnsi="宋体" w:eastAsia="宋体" w:cs="宋体"/>
          <w:color w:val="000000"/>
          <w:sz w:val="24"/>
          <w:u w:val="single"/>
          <w:lang w:val="en-US" w:eastAsia="zh-CN"/>
        </w:rPr>
        <w:t>南通通湾旅游开发有限公司金石国际大酒店</w:t>
      </w:r>
      <w:r>
        <w:rPr>
          <w:rFonts w:hint="eastAsia" w:ascii="宋体" w:hAnsi="宋体" w:cs="宋体"/>
          <w:sz w:val="24"/>
          <w:u w:val="single"/>
        </w:rPr>
        <w:t>：</w:t>
      </w:r>
    </w:p>
    <w:p w14:paraId="15F99BB9">
      <w:pPr>
        <w:snapToGrid w:val="0"/>
        <w:spacing w:line="520" w:lineRule="exact"/>
        <w:ind w:firstLine="960" w:firstLineChars="400"/>
        <w:rPr>
          <w:rFonts w:ascii="宋体" w:hAnsi="宋体" w:cs="宋体"/>
          <w:sz w:val="24"/>
        </w:rPr>
      </w:pPr>
      <w:r>
        <w:rPr>
          <w:rFonts w:hint="eastAsia" w:ascii="宋体" w:hAnsi="宋体" w:cs="宋体"/>
          <w:sz w:val="24"/>
        </w:rPr>
        <w:t>我单位</w:t>
      </w:r>
      <w:r>
        <w:rPr>
          <w:rFonts w:hint="eastAsia" w:ascii="宋体" w:hAnsi="宋体" w:cs="宋体"/>
          <w:sz w:val="24"/>
          <w:u w:val="single"/>
        </w:rPr>
        <w:t xml:space="preserve">              </w:t>
      </w:r>
      <w:r>
        <w:rPr>
          <w:rFonts w:hint="eastAsia" w:ascii="宋体" w:hAnsi="宋体" w:cs="宋体"/>
          <w:sz w:val="24"/>
        </w:rPr>
        <w:t>（投标人名称）郑重声明：参加本项目前</w:t>
      </w:r>
      <w:r>
        <w:rPr>
          <w:rFonts w:ascii="宋体" w:hAnsi="宋体" w:cs="宋体"/>
          <w:sz w:val="24"/>
        </w:rPr>
        <w:t>3</w:t>
      </w:r>
      <w:r>
        <w:rPr>
          <w:rFonts w:hint="eastAsia" w:ascii="宋体" w:hAnsi="宋体" w:cs="宋体"/>
          <w:sz w:val="24"/>
        </w:rPr>
        <w:t>年内在经营活动中</w:t>
      </w:r>
      <w:r>
        <w:rPr>
          <w:rFonts w:hint="eastAsia" w:ascii="宋体" w:hAnsi="宋体" w:cs="宋体"/>
          <w:sz w:val="24"/>
          <w:u w:val="single"/>
        </w:rPr>
        <w:t xml:space="preserve">    </w:t>
      </w:r>
      <w:r>
        <w:rPr>
          <w:rFonts w:hint="eastAsia" w:ascii="宋体" w:hAnsi="宋体" w:cs="宋体"/>
          <w:sz w:val="24"/>
        </w:rPr>
        <w:t>（在下划线上如实填写：有或没有）重大违法记录。</w:t>
      </w:r>
    </w:p>
    <w:p w14:paraId="23D7BE9B">
      <w:pPr>
        <w:pStyle w:val="11"/>
        <w:ind w:firstLine="840" w:firstLineChars="350"/>
        <w:rPr>
          <w:rFonts w:ascii="宋体" w:eastAsia="宋体" w:cs="宋体"/>
          <w:sz w:val="24"/>
        </w:rPr>
      </w:pPr>
      <w:r>
        <w:rPr>
          <w:rFonts w:hint="eastAsia" w:ascii="宋体" w:eastAsia="宋体" w:cs="宋体"/>
          <w:sz w:val="24"/>
        </w:rPr>
        <w:t>在投标截止时间节点未被“信用中国”网站 、“中国政府采购网” 列入失信被执行人、重大税收违法案件当事人名单、政府采购严重违法失信行为记录名单。</w:t>
      </w:r>
    </w:p>
    <w:p w14:paraId="26B81534">
      <w:pPr>
        <w:spacing w:line="360" w:lineRule="auto"/>
        <w:ind w:firstLine="480"/>
        <w:rPr>
          <w:rFonts w:ascii="宋体"/>
          <w:sz w:val="24"/>
        </w:rPr>
      </w:pPr>
    </w:p>
    <w:p w14:paraId="7F123E02">
      <w:pPr>
        <w:rPr>
          <w:sz w:val="24"/>
        </w:rPr>
      </w:pPr>
    </w:p>
    <w:p w14:paraId="79E1D5EC">
      <w:pPr>
        <w:spacing w:line="360" w:lineRule="auto"/>
        <w:ind w:firstLine="480"/>
        <w:rPr>
          <w:rFonts w:ascii="宋体"/>
          <w:sz w:val="24"/>
        </w:rPr>
      </w:pPr>
    </w:p>
    <w:p w14:paraId="67D8C108">
      <w:pPr>
        <w:spacing w:line="360" w:lineRule="auto"/>
        <w:ind w:firstLine="5520" w:firstLineChars="2300"/>
        <w:rPr>
          <w:rFonts w:ascii="宋体"/>
          <w:sz w:val="24"/>
        </w:rPr>
      </w:pPr>
      <w:r>
        <w:rPr>
          <w:rFonts w:hint="eastAsia" w:ascii="宋体" w:hAnsi="宋体" w:cs="宋体"/>
          <w:sz w:val="24"/>
        </w:rPr>
        <w:t>声明人：（公章）</w:t>
      </w:r>
    </w:p>
    <w:p w14:paraId="01724B51">
      <w:pPr>
        <w:spacing w:line="360" w:lineRule="auto"/>
        <w:jc w:val="center"/>
        <w:rPr>
          <w:rFonts w:ascii="宋体"/>
          <w:sz w:val="24"/>
        </w:rPr>
      </w:pPr>
      <w:r>
        <w:rPr>
          <w:rFonts w:hint="eastAsia" w:ascii="宋体" w:hAnsi="宋体" w:cs="宋体"/>
          <w:sz w:val="24"/>
        </w:rPr>
        <w:t xml:space="preserve">                                      年   月   日</w:t>
      </w:r>
    </w:p>
    <w:p w14:paraId="18C01C20">
      <w:pPr>
        <w:pStyle w:val="2"/>
      </w:pPr>
    </w:p>
    <w:p w14:paraId="1D03A5DC">
      <w:pPr>
        <w:pStyle w:val="3"/>
      </w:pPr>
    </w:p>
    <w:p w14:paraId="2FFEAAAC">
      <w:pPr>
        <w:pStyle w:val="3"/>
      </w:pPr>
    </w:p>
    <w:p w14:paraId="57E65E17">
      <w:pPr>
        <w:pStyle w:val="3"/>
      </w:pPr>
    </w:p>
    <w:p w14:paraId="3BB47322">
      <w:pPr>
        <w:pStyle w:val="3"/>
      </w:pPr>
    </w:p>
    <w:p w14:paraId="14B1A82F">
      <w:pPr>
        <w:pStyle w:val="3"/>
      </w:pPr>
    </w:p>
    <w:p w14:paraId="7E8DDBD3">
      <w:pPr>
        <w:pStyle w:val="3"/>
      </w:pPr>
    </w:p>
    <w:p w14:paraId="23373C2B">
      <w:pPr>
        <w:pStyle w:val="3"/>
      </w:pPr>
    </w:p>
    <w:p w14:paraId="190C03AF">
      <w:pPr>
        <w:pStyle w:val="3"/>
      </w:pPr>
    </w:p>
    <w:p w14:paraId="7CF5FDAD">
      <w:pPr>
        <w:pStyle w:val="3"/>
      </w:pPr>
    </w:p>
    <w:p w14:paraId="0411E364">
      <w:pPr>
        <w:pStyle w:val="3"/>
      </w:pPr>
    </w:p>
    <w:p w14:paraId="3D4D2B73">
      <w:pPr>
        <w:pStyle w:val="3"/>
      </w:pPr>
    </w:p>
    <w:p w14:paraId="5488B67D">
      <w:pPr>
        <w:pStyle w:val="3"/>
      </w:pPr>
    </w:p>
    <w:p w14:paraId="1BCDBFD7">
      <w:pPr>
        <w:pStyle w:val="3"/>
      </w:pPr>
    </w:p>
    <w:p w14:paraId="3F455A32">
      <w:pPr>
        <w:pStyle w:val="3"/>
      </w:pPr>
    </w:p>
    <w:p w14:paraId="62A207C1">
      <w:pPr>
        <w:pStyle w:val="3"/>
      </w:pPr>
    </w:p>
    <w:p w14:paraId="7D105DE9">
      <w:pPr>
        <w:pStyle w:val="3"/>
      </w:pPr>
    </w:p>
    <w:p w14:paraId="77EFBBF0">
      <w:pPr>
        <w:pStyle w:val="3"/>
      </w:pPr>
    </w:p>
    <w:p w14:paraId="4309CF9D">
      <w:pPr>
        <w:pStyle w:val="3"/>
      </w:pPr>
    </w:p>
    <w:p w14:paraId="6A6E8363">
      <w:pPr>
        <w:pStyle w:val="3"/>
      </w:pPr>
    </w:p>
    <w:p w14:paraId="2CB36680">
      <w:pPr>
        <w:pStyle w:val="3"/>
      </w:pPr>
    </w:p>
    <w:p w14:paraId="797007CD">
      <w:pPr>
        <w:pStyle w:val="3"/>
      </w:pPr>
    </w:p>
    <w:p w14:paraId="59E8325E">
      <w:pPr>
        <w:pStyle w:val="3"/>
      </w:pPr>
    </w:p>
    <w:p w14:paraId="3BE11365">
      <w:pPr>
        <w:pStyle w:val="3"/>
      </w:pPr>
    </w:p>
    <w:p w14:paraId="44B1DBF6">
      <w:pPr>
        <w:pStyle w:val="3"/>
      </w:pPr>
    </w:p>
    <w:p w14:paraId="76505723">
      <w:pPr>
        <w:pStyle w:val="3"/>
      </w:pPr>
    </w:p>
    <w:p w14:paraId="032BD3B4">
      <w:pPr>
        <w:pStyle w:val="3"/>
      </w:pPr>
    </w:p>
    <w:p w14:paraId="436548C7">
      <w:pPr>
        <w:pStyle w:val="3"/>
      </w:pPr>
    </w:p>
    <w:p w14:paraId="1FA5D077">
      <w:pPr>
        <w:rPr>
          <w:rFonts w:ascii="宋体" w:hAnsi="宋体" w:eastAsia="宋体" w:cstheme="minorEastAsia"/>
          <w:sz w:val="24"/>
        </w:rPr>
      </w:pPr>
    </w:p>
    <w:p w14:paraId="373B2B5D">
      <w:pPr>
        <w:jc w:val="left"/>
        <w:rPr>
          <w:rFonts w:ascii="宋体" w:hAnsi="宋体" w:eastAsia="宋体" w:cstheme="minorEastAsia"/>
          <w:sz w:val="24"/>
        </w:rPr>
      </w:pPr>
    </w:p>
    <w:p w14:paraId="73FB6939">
      <w:pPr>
        <w:jc w:val="center"/>
        <w:rPr>
          <w:rFonts w:ascii="宋体" w:hAnsi="宋体" w:eastAsia="宋体" w:cstheme="minorEastAsia"/>
          <w:sz w:val="24"/>
        </w:rPr>
      </w:pPr>
    </w:p>
    <w:p w14:paraId="0F0092C4">
      <w:pPr>
        <w:jc w:val="center"/>
        <w:rPr>
          <w:rFonts w:ascii="宋体" w:hAnsi="宋体" w:eastAsia="宋体" w:cstheme="minorEastAsia"/>
          <w:b/>
          <w:bCs/>
          <w:sz w:val="28"/>
          <w:szCs w:val="28"/>
        </w:rPr>
      </w:pPr>
      <w:r>
        <w:rPr>
          <w:rFonts w:hint="eastAsia" w:ascii="宋体" w:hAnsi="宋体" w:eastAsia="宋体" w:cstheme="minorEastAsia"/>
          <w:b/>
          <w:bCs/>
          <w:sz w:val="28"/>
          <w:szCs w:val="28"/>
        </w:rPr>
        <w:t>4</w:t>
      </w:r>
      <w:r>
        <w:rPr>
          <w:rFonts w:ascii="宋体" w:hAnsi="宋体" w:eastAsia="宋体" w:cstheme="minorEastAsia"/>
          <w:b/>
          <w:bCs/>
          <w:sz w:val="28"/>
          <w:szCs w:val="28"/>
        </w:rPr>
        <w:t>.</w:t>
      </w:r>
      <w:r>
        <w:rPr>
          <w:rFonts w:hint="eastAsia" w:ascii="宋体" w:hAnsi="宋体" w:eastAsia="宋体" w:cstheme="minorEastAsia"/>
          <w:b/>
          <w:bCs/>
          <w:sz w:val="28"/>
          <w:szCs w:val="28"/>
        </w:rPr>
        <w:t>投标报价汇总表</w:t>
      </w:r>
    </w:p>
    <w:p w14:paraId="240B21C7">
      <w:pPr>
        <w:rPr>
          <w:rFonts w:ascii="宋体" w:hAnsi="宋体" w:eastAsia="宋体" w:cstheme="minorEastAsia"/>
          <w:sz w:val="24"/>
        </w:rPr>
      </w:pPr>
    </w:p>
    <w:tbl>
      <w:tblPr>
        <w:tblStyle w:val="13"/>
        <w:tblW w:w="9599" w:type="dxa"/>
        <w:tblInd w:w="-6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9"/>
        <w:gridCol w:w="7160"/>
      </w:tblGrid>
      <w:tr w14:paraId="647C0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439" w:type="dxa"/>
            <w:tcBorders>
              <w:top w:val="single" w:color="auto" w:sz="4" w:space="0"/>
              <w:left w:val="single" w:color="auto" w:sz="4" w:space="0"/>
              <w:bottom w:val="nil"/>
              <w:right w:val="single" w:color="auto" w:sz="4" w:space="0"/>
            </w:tcBorders>
            <w:vAlign w:val="center"/>
          </w:tcPr>
          <w:p w14:paraId="5A1B8816">
            <w:pPr>
              <w:kinsoku w:val="0"/>
              <w:topLinePunct/>
              <w:snapToGrid w:val="0"/>
              <w:spacing w:line="520" w:lineRule="exact"/>
              <w:jc w:val="left"/>
              <w:rPr>
                <w:rFonts w:hint="eastAsia" w:ascii="宋体" w:hAnsi="宋体" w:eastAsia="宋体" w:cs="宋体"/>
                <w:b/>
                <w:sz w:val="24"/>
              </w:rPr>
            </w:pPr>
            <w:r>
              <w:rPr>
                <w:rFonts w:hint="eastAsia" w:ascii="宋体" w:hAnsi="宋体" w:eastAsia="宋体" w:cs="宋体"/>
                <w:b/>
                <w:sz w:val="24"/>
              </w:rPr>
              <w:t>项目名称</w:t>
            </w:r>
          </w:p>
        </w:tc>
        <w:tc>
          <w:tcPr>
            <w:tcW w:w="7160" w:type="dxa"/>
            <w:tcBorders>
              <w:top w:val="single" w:color="auto" w:sz="4" w:space="0"/>
              <w:left w:val="single" w:color="auto" w:sz="4" w:space="0"/>
              <w:bottom w:val="nil"/>
              <w:right w:val="single" w:color="auto" w:sz="4" w:space="0"/>
            </w:tcBorders>
            <w:vAlign w:val="center"/>
          </w:tcPr>
          <w:p w14:paraId="6D40A80E">
            <w:pPr>
              <w:kinsoku w:val="0"/>
              <w:topLinePunct/>
              <w:snapToGrid w:val="0"/>
              <w:spacing w:line="520" w:lineRule="exact"/>
              <w:rPr>
                <w:rFonts w:hint="eastAsia" w:ascii="宋体" w:hAnsi="宋体" w:eastAsia="宋体" w:cs="宋体"/>
                <w:b/>
                <w:bCs/>
                <w:strike/>
                <w:color w:val="FF0000"/>
                <w:sz w:val="24"/>
              </w:rPr>
            </w:pPr>
            <w:r>
              <w:rPr>
                <w:rFonts w:hint="eastAsia" w:ascii="宋体" w:hAnsi="宋体" w:eastAsia="宋体" w:cs="宋体"/>
                <w:b/>
                <w:bCs/>
                <w:color w:val="000000"/>
                <w:sz w:val="24"/>
                <w:u w:val="none"/>
                <w:lang w:val="en-US" w:eastAsia="zh-CN"/>
              </w:rPr>
              <w:t>南通通湾旅游开发有限公司金石国际大酒店</w:t>
            </w:r>
            <w:r>
              <w:rPr>
                <w:rFonts w:hint="eastAsia" w:ascii="宋体" w:hAnsi="宋体" w:eastAsia="宋体" w:cs="宋体"/>
                <w:b/>
                <w:sz w:val="24"/>
              </w:rPr>
              <w:t>中央空调循环水处理服务项目</w:t>
            </w:r>
          </w:p>
        </w:tc>
      </w:tr>
      <w:tr w14:paraId="61DD2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439" w:type="dxa"/>
            <w:tcBorders>
              <w:top w:val="single" w:color="auto" w:sz="4" w:space="0"/>
              <w:left w:val="single" w:color="auto" w:sz="4" w:space="0"/>
              <w:bottom w:val="single" w:color="auto" w:sz="4" w:space="0"/>
              <w:right w:val="single" w:color="auto" w:sz="4" w:space="0"/>
            </w:tcBorders>
            <w:vAlign w:val="center"/>
          </w:tcPr>
          <w:p w14:paraId="0569EFD9">
            <w:pPr>
              <w:kinsoku w:val="0"/>
              <w:topLinePunct/>
              <w:snapToGrid w:val="0"/>
              <w:spacing w:line="520" w:lineRule="exact"/>
              <w:jc w:val="left"/>
              <w:rPr>
                <w:rFonts w:hint="eastAsia" w:ascii="宋体" w:hAnsi="宋体" w:eastAsia="宋体" w:cs="宋体"/>
                <w:b/>
                <w:sz w:val="24"/>
              </w:rPr>
            </w:pPr>
            <w:r>
              <w:rPr>
                <w:rFonts w:hint="eastAsia" w:ascii="宋体" w:hAnsi="宋体" w:eastAsia="宋体" w:cs="宋体"/>
                <w:b/>
                <w:sz w:val="24"/>
              </w:rPr>
              <w:t>投标报价（含税）</w:t>
            </w:r>
          </w:p>
        </w:tc>
        <w:tc>
          <w:tcPr>
            <w:tcW w:w="7160" w:type="dxa"/>
            <w:tcBorders>
              <w:top w:val="single" w:color="auto" w:sz="4" w:space="0"/>
              <w:left w:val="single" w:color="auto" w:sz="4" w:space="0"/>
              <w:bottom w:val="single" w:color="auto" w:sz="4" w:space="0"/>
              <w:right w:val="single" w:color="auto" w:sz="4" w:space="0"/>
            </w:tcBorders>
            <w:vAlign w:val="center"/>
          </w:tcPr>
          <w:p w14:paraId="4C230FBA">
            <w:pPr>
              <w:tabs>
                <w:tab w:val="left" w:pos="5325"/>
              </w:tabs>
              <w:snapToGrid w:val="0"/>
              <w:spacing w:line="420" w:lineRule="exact"/>
              <w:jc w:val="left"/>
              <w:rPr>
                <w:rFonts w:hint="eastAsia" w:ascii="宋体" w:hAnsi="宋体" w:eastAsia="宋体" w:cs="宋体"/>
                <w:b/>
                <w:sz w:val="24"/>
              </w:rPr>
            </w:pPr>
            <w:r>
              <w:rPr>
                <w:rFonts w:hint="eastAsia" w:ascii="宋体" w:hAnsi="宋体" w:eastAsia="宋体" w:cs="宋体"/>
                <w:b/>
                <w:sz w:val="24"/>
              </w:rPr>
              <w:t>小写：</w:t>
            </w:r>
            <w:r>
              <w:rPr>
                <w:rFonts w:hint="eastAsia" w:ascii="宋体" w:hAnsi="宋体" w:eastAsia="宋体" w:cs="宋体"/>
                <w:b/>
                <w:sz w:val="24"/>
                <w:u w:val="single"/>
              </w:rPr>
              <w:t xml:space="preserve">         </w:t>
            </w:r>
            <w:r>
              <w:rPr>
                <w:rFonts w:hint="eastAsia" w:ascii="宋体" w:hAnsi="宋体" w:eastAsia="宋体" w:cs="宋体"/>
                <w:b/>
                <w:sz w:val="24"/>
              </w:rPr>
              <w:t xml:space="preserve">     </w:t>
            </w:r>
          </w:p>
          <w:p w14:paraId="781F3FBD">
            <w:pPr>
              <w:tabs>
                <w:tab w:val="left" w:pos="5325"/>
              </w:tabs>
              <w:snapToGrid w:val="0"/>
              <w:spacing w:line="420" w:lineRule="exact"/>
              <w:jc w:val="left"/>
              <w:rPr>
                <w:rFonts w:hint="eastAsia" w:ascii="宋体" w:hAnsi="宋体" w:eastAsia="宋体" w:cs="宋体"/>
                <w:b/>
                <w:sz w:val="24"/>
              </w:rPr>
            </w:pPr>
            <w:r>
              <w:rPr>
                <w:rFonts w:hint="eastAsia" w:ascii="宋体" w:hAnsi="宋体" w:eastAsia="宋体" w:cs="宋体"/>
                <w:b/>
                <w:sz w:val="24"/>
              </w:rPr>
              <w:t>大写：</w:t>
            </w:r>
            <w:r>
              <w:rPr>
                <w:rFonts w:hint="eastAsia" w:ascii="宋体" w:hAnsi="宋体" w:eastAsia="宋体" w:cs="宋体"/>
                <w:b/>
                <w:sz w:val="24"/>
                <w:u w:val="single"/>
              </w:rPr>
              <w:t xml:space="preserve">         </w:t>
            </w:r>
          </w:p>
        </w:tc>
      </w:tr>
      <w:tr w14:paraId="045ED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439" w:type="dxa"/>
            <w:tcBorders>
              <w:top w:val="single" w:color="auto" w:sz="4" w:space="0"/>
              <w:left w:val="single" w:color="auto" w:sz="4" w:space="0"/>
              <w:bottom w:val="single" w:color="auto" w:sz="4" w:space="0"/>
              <w:right w:val="single" w:color="auto" w:sz="4" w:space="0"/>
            </w:tcBorders>
            <w:vAlign w:val="center"/>
          </w:tcPr>
          <w:p w14:paraId="7C65A81A">
            <w:pPr>
              <w:kinsoku w:val="0"/>
              <w:topLinePunct/>
              <w:snapToGrid w:val="0"/>
              <w:spacing w:line="520" w:lineRule="exact"/>
              <w:jc w:val="left"/>
              <w:rPr>
                <w:rFonts w:hint="eastAsia" w:ascii="宋体" w:hAnsi="宋体" w:eastAsia="宋体" w:cs="宋体"/>
                <w:b/>
                <w:sz w:val="24"/>
              </w:rPr>
            </w:pPr>
            <w:r>
              <w:rPr>
                <w:rFonts w:hint="eastAsia" w:ascii="宋体" w:hAnsi="宋体" w:eastAsia="宋体" w:cs="宋体"/>
                <w:b/>
                <w:sz w:val="24"/>
              </w:rPr>
              <w:t>增值专用发票税率</w:t>
            </w:r>
          </w:p>
        </w:tc>
        <w:tc>
          <w:tcPr>
            <w:tcW w:w="7160" w:type="dxa"/>
            <w:tcBorders>
              <w:top w:val="single" w:color="auto" w:sz="4" w:space="0"/>
              <w:left w:val="single" w:color="auto" w:sz="4" w:space="0"/>
              <w:bottom w:val="single" w:color="auto" w:sz="4" w:space="0"/>
              <w:right w:val="single" w:color="auto" w:sz="4" w:space="0"/>
            </w:tcBorders>
            <w:vAlign w:val="center"/>
          </w:tcPr>
          <w:p w14:paraId="62EEF5F6">
            <w:pPr>
              <w:kinsoku w:val="0"/>
              <w:topLinePunct/>
              <w:snapToGrid w:val="0"/>
              <w:spacing w:line="520" w:lineRule="exact"/>
              <w:ind w:left="321" w:leftChars="153"/>
              <w:rPr>
                <w:rFonts w:hint="eastAsia" w:ascii="宋体" w:hAnsi="宋体" w:eastAsia="宋体" w:cs="宋体"/>
                <w:b/>
                <w:sz w:val="24"/>
              </w:rPr>
            </w:pPr>
            <w:r>
              <w:rPr>
                <w:rFonts w:hint="eastAsia" w:ascii="宋体" w:hAnsi="宋体" w:eastAsia="宋体" w:cs="宋体"/>
                <w:b/>
                <w:sz w:val="24"/>
              </w:rPr>
              <w:t xml:space="preserve">    %</w:t>
            </w:r>
          </w:p>
        </w:tc>
      </w:tr>
      <w:tr w14:paraId="05181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439" w:type="dxa"/>
            <w:tcBorders>
              <w:top w:val="single" w:color="auto" w:sz="4" w:space="0"/>
              <w:left w:val="single" w:color="auto" w:sz="4" w:space="0"/>
              <w:bottom w:val="single" w:color="auto" w:sz="4" w:space="0"/>
              <w:right w:val="single" w:color="auto" w:sz="4" w:space="0"/>
            </w:tcBorders>
            <w:vAlign w:val="center"/>
          </w:tcPr>
          <w:p w14:paraId="46485BD1">
            <w:pPr>
              <w:kinsoku w:val="0"/>
              <w:topLinePunct/>
              <w:snapToGrid w:val="0"/>
              <w:spacing w:line="520" w:lineRule="exact"/>
              <w:jc w:val="left"/>
              <w:rPr>
                <w:rFonts w:hint="eastAsia" w:ascii="宋体" w:hAnsi="宋体" w:eastAsia="宋体" w:cs="宋体"/>
                <w:b/>
                <w:sz w:val="24"/>
              </w:rPr>
            </w:pPr>
            <w:r>
              <w:rPr>
                <w:rFonts w:hint="eastAsia" w:ascii="宋体" w:hAnsi="宋体" w:eastAsia="宋体" w:cs="宋体"/>
                <w:b/>
                <w:sz w:val="24"/>
              </w:rPr>
              <w:t>付款方式</w:t>
            </w:r>
          </w:p>
        </w:tc>
        <w:tc>
          <w:tcPr>
            <w:tcW w:w="7160" w:type="dxa"/>
            <w:tcBorders>
              <w:top w:val="single" w:color="auto" w:sz="4" w:space="0"/>
              <w:left w:val="single" w:color="auto" w:sz="4" w:space="0"/>
              <w:bottom w:val="single" w:color="auto" w:sz="4" w:space="0"/>
              <w:right w:val="single" w:color="auto" w:sz="4" w:space="0"/>
            </w:tcBorders>
            <w:vAlign w:val="center"/>
          </w:tcPr>
          <w:p w14:paraId="60F72A21">
            <w:pPr>
              <w:kinsoku w:val="0"/>
              <w:topLinePunct/>
              <w:snapToGrid w:val="0"/>
              <w:spacing w:line="520" w:lineRule="exact"/>
              <w:rPr>
                <w:rFonts w:hint="eastAsia" w:ascii="宋体" w:hAnsi="宋体" w:eastAsia="宋体" w:cs="宋体"/>
                <w:b/>
                <w:sz w:val="24"/>
              </w:rPr>
            </w:pPr>
            <w:r>
              <w:rPr>
                <w:rFonts w:hint="eastAsia" w:ascii="宋体" w:hAnsi="宋体" w:eastAsia="宋体" w:cs="宋体"/>
                <w:b/>
                <w:sz w:val="24"/>
              </w:rPr>
              <w:t>完全响应</w:t>
            </w:r>
            <w:r>
              <w:rPr>
                <w:rFonts w:hint="eastAsia" w:ascii="宋体" w:hAnsi="宋体" w:eastAsia="宋体" w:cs="宋体"/>
                <w:b/>
                <w:kern w:val="0"/>
                <w:sz w:val="24"/>
              </w:rPr>
              <w:t>招标文件的要求</w:t>
            </w:r>
          </w:p>
        </w:tc>
      </w:tr>
      <w:tr w14:paraId="1DD56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439" w:type="dxa"/>
            <w:tcBorders>
              <w:top w:val="single" w:color="auto" w:sz="4" w:space="0"/>
              <w:left w:val="single" w:color="auto" w:sz="4" w:space="0"/>
              <w:bottom w:val="single" w:color="auto" w:sz="4" w:space="0"/>
              <w:right w:val="single" w:color="auto" w:sz="4" w:space="0"/>
            </w:tcBorders>
            <w:vAlign w:val="center"/>
          </w:tcPr>
          <w:p w14:paraId="0980910A">
            <w:pPr>
              <w:spacing w:line="520" w:lineRule="exact"/>
              <w:jc w:val="left"/>
              <w:textAlignment w:val="bottom"/>
              <w:rPr>
                <w:rFonts w:hint="eastAsia" w:ascii="宋体" w:hAnsi="宋体" w:eastAsia="宋体" w:cs="宋体"/>
                <w:b/>
                <w:bCs/>
                <w:kern w:val="0"/>
                <w:sz w:val="24"/>
              </w:rPr>
            </w:pPr>
            <w:r>
              <w:rPr>
                <w:rFonts w:hint="eastAsia" w:ascii="宋体" w:hAnsi="宋体" w:eastAsia="宋体" w:cs="宋体"/>
                <w:b/>
                <w:sz w:val="24"/>
              </w:rPr>
              <w:t>合同履行期限</w:t>
            </w:r>
          </w:p>
        </w:tc>
        <w:tc>
          <w:tcPr>
            <w:tcW w:w="7160" w:type="dxa"/>
            <w:tcBorders>
              <w:top w:val="single" w:color="auto" w:sz="4" w:space="0"/>
              <w:left w:val="single" w:color="auto" w:sz="4" w:space="0"/>
              <w:bottom w:val="single" w:color="auto" w:sz="4" w:space="0"/>
              <w:right w:val="single" w:color="auto" w:sz="4" w:space="0"/>
            </w:tcBorders>
            <w:vAlign w:val="center"/>
          </w:tcPr>
          <w:p w14:paraId="2448F46B">
            <w:pPr>
              <w:spacing w:line="520" w:lineRule="exact"/>
              <w:jc w:val="left"/>
              <w:textAlignment w:val="bottom"/>
              <w:rPr>
                <w:rFonts w:hint="eastAsia" w:ascii="宋体" w:hAnsi="宋体" w:eastAsia="宋体" w:cs="宋体"/>
                <w:b/>
                <w:kern w:val="0"/>
                <w:sz w:val="24"/>
              </w:rPr>
            </w:pPr>
            <w:r>
              <w:rPr>
                <w:rFonts w:hint="eastAsia" w:ascii="宋体" w:hAnsi="宋体" w:eastAsia="宋体" w:cs="宋体"/>
                <w:b/>
                <w:kern w:val="0"/>
                <w:sz w:val="24"/>
              </w:rPr>
              <w:t>完全响应招标文件的要求</w:t>
            </w:r>
          </w:p>
        </w:tc>
      </w:tr>
    </w:tbl>
    <w:p w14:paraId="1DEF473B">
      <w:pPr>
        <w:ind w:firstLine="3840" w:firstLineChars="1600"/>
        <w:rPr>
          <w:rFonts w:ascii="宋体" w:hAnsi="宋体" w:eastAsia="宋体" w:cstheme="minorEastAsia"/>
          <w:sz w:val="24"/>
        </w:rPr>
      </w:pPr>
      <w:r>
        <w:rPr>
          <w:rFonts w:hint="eastAsia" w:ascii="宋体" w:hAnsi="宋体" w:eastAsia="宋体" w:cstheme="minorEastAsia"/>
          <w:sz w:val="24"/>
        </w:rPr>
        <w:t xml:space="preserve">                                </w:t>
      </w:r>
    </w:p>
    <w:p w14:paraId="7F8C6318">
      <w:pPr>
        <w:kinsoku w:val="0"/>
        <w:topLinePunct/>
        <w:snapToGrid w:val="0"/>
        <w:spacing w:line="360" w:lineRule="auto"/>
        <w:rPr>
          <w:rFonts w:ascii="宋体" w:hAnsi="宋体" w:cs="宋体"/>
          <w:sz w:val="24"/>
        </w:rPr>
      </w:pPr>
      <w:r>
        <w:rPr>
          <w:rFonts w:hint="eastAsia" w:ascii="宋体" w:hAnsi="宋体" w:cs="宋体"/>
          <w:sz w:val="24"/>
        </w:rPr>
        <w:t xml:space="preserve">供应商：（盖章）             </w:t>
      </w:r>
    </w:p>
    <w:p w14:paraId="47C2868E">
      <w:pPr>
        <w:kinsoku w:val="0"/>
        <w:topLinePunct/>
        <w:snapToGrid w:val="0"/>
        <w:spacing w:line="360" w:lineRule="auto"/>
        <w:rPr>
          <w:rFonts w:ascii="宋体" w:hAnsi="宋体" w:cs="宋体"/>
          <w:sz w:val="24"/>
        </w:rPr>
      </w:pPr>
      <w:r>
        <w:rPr>
          <w:rFonts w:hint="eastAsia" w:ascii="宋体" w:hAnsi="宋体" w:cs="宋体"/>
          <w:sz w:val="24"/>
        </w:rPr>
        <w:t>法定代表人或被授权人（签字或盖章）：</w:t>
      </w:r>
    </w:p>
    <w:p w14:paraId="0CB0D2BA">
      <w:pPr>
        <w:kinsoku w:val="0"/>
        <w:topLinePunct/>
        <w:snapToGrid w:val="0"/>
        <w:spacing w:line="360" w:lineRule="auto"/>
        <w:rPr>
          <w:rFonts w:ascii="宋体" w:hAnsi="宋体" w:cs="宋体"/>
          <w:b/>
          <w:bCs/>
          <w:sz w:val="24"/>
        </w:rPr>
      </w:pPr>
      <w:r>
        <w:rPr>
          <w:rFonts w:hint="eastAsia" w:ascii="宋体" w:hAnsi="宋体" w:cs="宋体"/>
          <w:sz w:val="24"/>
        </w:rPr>
        <w:t>日期：</w:t>
      </w:r>
    </w:p>
    <w:p w14:paraId="7690D493">
      <w:pPr>
        <w:snapToGrid w:val="0"/>
        <w:spacing w:line="480" w:lineRule="exact"/>
        <w:ind w:firstLine="495" w:firstLineChars="206"/>
        <w:rPr>
          <w:rFonts w:ascii="宋体" w:hAnsi="宋体" w:cs="宋体"/>
          <w:bCs/>
          <w:sz w:val="24"/>
        </w:rPr>
      </w:pPr>
      <w:r>
        <w:rPr>
          <w:rFonts w:hint="eastAsia" w:ascii="宋体" w:hAnsi="宋体" w:cs="宋体"/>
          <w:b/>
          <w:bCs/>
          <w:sz w:val="24"/>
        </w:rPr>
        <w:t>注：</w:t>
      </w:r>
      <w:r>
        <w:rPr>
          <w:rFonts w:hint="eastAsia" w:ascii="宋体" w:hAnsi="宋体" w:cs="宋体"/>
          <w:bCs/>
          <w:sz w:val="24"/>
        </w:rPr>
        <w:t xml:space="preserve"> </w:t>
      </w:r>
    </w:p>
    <w:p w14:paraId="2D3815A6">
      <w:pPr>
        <w:snapToGrid w:val="0"/>
        <w:spacing w:line="360" w:lineRule="auto"/>
        <w:ind w:firstLine="494" w:firstLineChars="206"/>
        <w:rPr>
          <w:rFonts w:ascii="宋体" w:hAnsi="宋体" w:cs="宋体"/>
          <w:sz w:val="24"/>
        </w:rPr>
      </w:pPr>
      <w:r>
        <w:rPr>
          <w:rFonts w:hint="eastAsia" w:ascii="宋体" w:hAnsi="宋体" w:cs="宋体"/>
          <w:bCs/>
          <w:sz w:val="24"/>
        </w:rPr>
        <w:t>1、</w:t>
      </w:r>
      <w:r>
        <w:rPr>
          <w:rFonts w:hint="eastAsia" w:ascii="宋体" w:hAnsi="宋体" w:cs="宋体"/>
          <w:sz w:val="24"/>
        </w:rPr>
        <w:t>本表为格式表，不得自行改动，必须提供。</w:t>
      </w:r>
    </w:p>
    <w:p w14:paraId="5BA339B9">
      <w:pPr>
        <w:ind w:firstLine="3840" w:firstLineChars="1600"/>
        <w:jc w:val="left"/>
        <w:rPr>
          <w:rFonts w:ascii="宋体" w:hAnsi="宋体" w:eastAsia="宋体" w:cstheme="minorEastAsia"/>
          <w:sz w:val="24"/>
        </w:rPr>
      </w:pPr>
    </w:p>
    <w:p w14:paraId="1FEA65CB">
      <w:pPr>
        <w:ind w:firstLine="3840" w:firstLineChars="1600"/>
        <w:rPr>
          <w:rFonts w:ascii="宋体" w:hAnsi="宋体" w:eastAsia="宋体" w:cstheme="minorEastAsia"/>
          <w:sz w:val="24"/>
        </w:rPr>
      </w:pPr>
    </w:p>
    <w:p w14:paraId="7E4FF2AF">
      <w:pPr>
        <w:pStyle w:val="2"/>
      </w:pPr>
    </w:p>
    <w:p w14:paraId="5C1E30E3">
      <w:pPr>
        <w:pStyle w:val="3"/>
      </w:pPr>
    </w:p>
    <w:p w14:paraId="0D46647C">
      <w:pPr>
        <w:pStyle w:val="3"/>
      </w:pPr>
    </w:p>
    <w:p w14:paraId="6089B1BA">
      <w:pPr>
        <w:pStyle w:val="3"/>
      </w:pPr>
    </w:p>
    <w:p w14:paraId="1D740DC1">
      <w:pPr>
        <w:pStyle w:val="3"/>
      </w:pPr>
    </w:p>
    <w:p w14:paraId="08406F25">
      <w:pPr>
        <w:pStyle w:val="3"/>
      </w:pPr>
    </w:p>
    <w:p w14:paraId="2AF4A39A">
      <w:pPr>
        <w:pStyle w:val="3"/>
      </w:pPr>
    </w:p>
    <w:p w14:paraId="06351787">
      <w:pPr>
        <w:pStyle w:val="3"/>
      </w:pPr>
    </w:p>
    <w:p w14:paraId="3DD43B95">
      <w:pPr>
        <w:pStyle w:val="3"/>
      </w:pPr>
    </w:p>
    <w:p w14:paraId="11FE9D0C">
      <w:pPr>
        <w:pStyle w:val="3"/>
      </w:pPr>
    </w:p>
    <w:p w14:paraId="6FDB87A2">
      <w:pPr>
        <w:pStyle w:val="3"/>
      </w:pPr>
    </w:p>
    <w:p w14:paraId="53EF4D7B">
      <w:pPr>
        <w:pStyle w:val="3"/>
      </w:pPr>
    </w:p>
    <w:p w14:paraId="1E7C5CCD">
      <w:pPr>
        <w:pStyle w:val="3"/>
      </w:pPr>
    </w:p>
    <w:p w14:paraId="2400D447">
      <w:pPr>
        <w:pStyle w:val="3"/>
      </w:pPr>
    </w:p>
    <w:p w14:paraId="4EDC7D49">
      <w:pPr>
        <w:pStyle w:val="3"/>
      </w:pPr>
    </w:p>
    <w:p w14:paraId="7BBF3D05">
      <w:pPr>
        <w:pStyle w:val="3"/>
      </w:pPr>
    </w:p>
    <w:p w14:paraId="7294F168">
      <w:pPr>
        <w:pStyle w:val="3"/>
      </w:pPr>
    </w:p>
    <w:p w14:paraId="56FE2814">
      <w:pPr>
        <w:pStyle w:val="3"/>
      </w:pPr>
    </w:p>
    <w:p w14:paraId="6F54667F">
      <w:pPr>
        <w:pStyle w:val="3"/>
      </w:pPr>
    </w:p>
    <w:p w14:paraId="13ED112C">
      <w:pPr>
        <w:pStyle w:val="3"/>
      </w:pPr>
    </w:p>
    <w:p w14:paraId="08B8825B">
      <w:pPr>
        <w:pStyle w:val="3"/>
      </w:pPr>
    </w:p>
    <w:p w14:paraId="296D8778">
      <w:pPr>
        <w:pStyle w:val="3"/>
      </w:pPr>
    </w:p>
    <w:p w14:paraId="69F2D916">
      <w:pPr>
        <w:pStyle w:val="3"/>
      </w:pPr>
    </w:p>
    <w:p w14:paraId="247F20AC">
      <w:pPr>
        <w:pStyle w:val="3"/>
      </w:pPr>
    </w:p>
    <w:p w14:paraId="3C152DBE">
      <w:pPr>
        <w:jc w:val="center"/>
        <w:rPr>
          <w:rFonts w:ascii="宋体" w:hAnsi="宋体" w:eastAsia="宋体" w:cstheme="minorEastAsia"/>
          <w:sz w:val="24"/>
        </w:rPr>
      </w:pPr>
      <w:r>
        <w:rPr>
          <w:rFonts w:ascii="宋体" w:hAnsi="宋体" w:eastAsia="宋体" w:cstheme="minorEastAsia"/>
          <w:b/>
          <w:bCs/>
          <w:sz w:val="24"/>
        </w:rPr>
        <w:t>5.</w:t>
      </w:r>
      <w:r>
        <w:rPr>
          <w:rFonts w:hint="eastAsia" w:ascii="宋体" w:hAnsi="宋体" w:eastAsia="宋体" w:cstheme="minorEastAsia"/>
          <w:b/>
          <w:bCs/>
          <w:sz w:val="24"/>
        </w:rPr>
        <w:t>承诺函</w:t>
      </w:r>
    </w:p>
    <w:p w14:paraId="1388A1E6">
      <w:pPr>
        <w:rPr>
          <w:rFonts w:ascii="宋体" w:hAnsi="宋体" w:eastAsia="宋体" w:cstheme="minorEastAsia"/>
          <w:sz w:val="24"/>
        </w:rPr>
      </w:pPr>
    </w:p>
    <w:p w14:paraId="5353A2EF">
      <w:pPr>
        <w:rPr>
          <w:rFonts w:ascii="宋体" w:hAnsi="宋体" w:eastAsia="宋体" w:cstheme="minorEastAsia"/>
          <w:sz w:val="24"/>
        </w:rPr>
      </w:pPr>
      <w:r>
        <w:rPr>
          <w:rFonts w:hint="eastAsia" w:ascii="宋体" w:hAnsi="宋体" w:eastAsia="宋体" w:cstheme="minorEastAsia"/>
          <w:sz w:val="24"/>
        </w:rPr>
        <w:t>致：</w:t>
      </w:r>
      <w:r>
        <w:rPr>
          <w:rFonts w:hint="eastAsia" w:ascii="宋体" w:hAnsi="宋体" w:eastAsia="宋体" w:cs="宋体"/>
          <w:color w:val="000000"/>
          <w:sz w:val="24"/>
          <w:u w:val="single"/>
          <w:lang w:val="en-US" w:eastAsia="zh-CN"/>
        </w:rPr>
        <w:t>南通通湾旅游开发有限公司金石国际大酒店</w:t>
      </w:r>
    </w:p>
    <w:p w14:paraId="4A9E93F3">
      <w:pPr>
        <w:ind w:firstLine="480" w:firstLineChars="200"/>
        <w:rPr>
          <w:rFonts w:ascii="宋体" w:hAnsi="宋体" w:eastAsia="宋体" w:cstheme="minorEastAsia"/>
          <w:sz w:val="24"/>
        </w:rPr>
      </w:pPr>
      <w:r>
        <w:rPr>
          <w:rFonts w:hint="eastAsia" w:ascii="宋体" w:hAnsi="宋体" w:eastAsia="宋体" w:cstheme="minorEastAsia"/>
          <w:sz w:val="24"/>
        </w:rPr>
        <w:t>我方作为</w:t>
      </w:r>
      <w:r>
        <w:rPr>
          <w:rFonts w:hint="eastAsia" w:ascii="宋体" w:hAnsi="宋体" w:eastAsia="宋体" w:cs="宋体"/>
          <w:b/>
          <w:bCs/>
          <w:color w:val="000000"/>
          <w:sz w:val="24"/>
          <w:u w:val="single"/>
          <w:lang w:val="en-US" w:eastAsia="zh-CN"/>
        </w:rPr>
        <w:t>南通金石国际大酒店</w:t>
      </w:r>
      <w:r>
        <w:rPr>
          <w:rFonts w:hint="eastAsia" w:ascii="宋体" w:hAnsi="宋体" w:eastAsia="宋体" w:cstheme="minorEastAsia"/>
          <w:b/>
          <w:bCs/>
          <w:sz w:val="24"/>
          <w:u w:val="single"/>
        </w:rPr>
        <w:t>中央空调循环水处理服务项目</w:t>
      </w:r>
      <w:r>
        <w:rPr>
          <w:rFonts w:hint="eastAsia" w:ascii="宋体" w:hAnsi="宋体" w:eastAsia="宋体" w:cstheme="minorEastAsia"/>
          <w:sz w:val="24"/>
        </w:rPr>
        <w:t>的投标单位郑重承诺：</w:t>
      </w:r>
    </w:p>
    <w:p w14:paraId="409EA50C">
      <w:pPr>
        <w:ind w:firstLine="480" w:firstLineChars="200"/>
        <w:rPr>
          <w:rFonts w:ascii="宋体" w:hAnsi="宋体" w:eastAsia="宋体" w:cstheme="minorEastAsia"/>
          <w:sz w:val="24"/>
        </w:rPr>
      </w:pPr>
      <w:r>
        <w:rPr>
          <w:rFonts w:hint="eastAsia" w:ascii="宋体" w:hAnsi="宋体" w:eastAsia="宋体" w:cstheme="minorEastAsia"/>
          <w:sz w:val="24"/>
        </w:rPr>
        <w:t>如果在该项目入围、投标过程或在合同履行中，招标人发现并查实我方所提供、填报的资料中存在虚假信息或者伪造数据、资料或证书等情况，不管招标人是否有合法的处罚依据，我方将无条件地自动放弃该项目的投标资格和中标资格；如果我方已经收到中标通知书，我方无条件地承认，我方所收到的该项目中标通知书为无效文件，对招标人不具备任何法律约束力，由此造成的任何后果和损失均由我方承担。若合同已部分或全部履约，则我方愿承担合同价50％的赔偿金。</w:t>
      </w:r>
    </w:p>
    <w:p w14:paraId="212E9A0C">
      <w:pPr>
        <w:ind w:firstLine="480" w:firstLineChars="200"/>
        <w:rPr>
          <w:rFonts w:ascii="宋体" w:hAnsi="宋体" w:eastAsia="宋体" w:cstheme="minorEastAsia"/>
          <w:sz w:val="24"/>
        </w:rPr>
      </w:pPr>
      <w:r>
        <w:rPr>
          <w:rFonts w:hint="eastAsia" w:ascii="宋体" w:hAnsi="宋体" w:eastAsia="宋体" w:cstheme="minorEastAsia"/>
          <w:sz w:val="24"/>
        </w:rPr>
        <w:t>本承诺具有相对独立性，不管是否有其他相反的说明。本承诺既是我方投标入围的有效组成内容，也是我方获得投标资格后所递交的投标书的有效组成内容，是我方真实意思的表示，对我方在与该项目有关的任何行为中始终具有优先的法律约束力。</w:t>
      </w:r>
    </w:p>
    <w:p w14:paraId="13D88C4A">
      <w:pPr>
        <w:rPr>
          <w:rFonts w:ascii="宋体" w:hAnsi="宋体" w:eastAsia="宋体" w:cstheme="minorEastAsia"/>
          <w:sz w:val="24"/>
        </w:rPr>
      </w:pPr>
      <w:r>
        <w:rPr>
          <w:rFonts w:hint="eastAsia" w:ascii="宋体" w:hAnsi="宋体" w:eastAsia="宋体" w:cstheme="minorEastAsia"/>
          <w:sz w:val="24"/>
        </w:rPr>
        <w:t>特此承诺!</w:t>
      </w:r>
    </w:p>
    <w:p w14:paraId="758AA2C2">
      <w:pPr>
        <w:jc w:val="center"/>
        <w:rPr>
          <w:rFonts w:ascii="宋体" w:hAnsi="宋体" w:eastAsia="宋体" w:cstheme="minorEastAsia"/>
          <w:sz w:val="24"/>
        </w:rPr>
      </w:pPr>
      <w:r>
        <w:rPr>
          <w:rFonts w:hint="eastAsia" w:ascii="宋体" w:hAnsi="宋体" w:eastAsia="宋体" w:cstheme="minorEastAsia"/>
          <w:sz w:val="24"/>
        </w:rPr>
        <w:t xml:space="preserve"> </w:t>
      </w:r>
    </w:p>
    <w:p w14:paraId="6292EF4D">
      <w:pPr>
        <w:jc w:val="center"/>
        <w:rPr>
          <w:rFonts w:ascii="宋体" w:hAnsi="宋体" w:eastAsia="宋体" w:cstheme="minorEastAsia"/>
          <w:sz w:val="24"/>
        </w:rPr>
      </w:pPr>
    </w:p>
    <w:p w14:paraId="39F33C82">
      <w:pPr>
        <w:jc w:val="center"/>
        <w:rPr>
          <w:rFonts w:ascii="宋体" w:hAnsi="宋体" w:eastAsia="宋体" w:cstheme="minorEastAsia"/>
          <w:sz w:val="24"/>
        </w:rPr>
      </w:pPr>
      <w:r>
        <w:rPr>
          <w:rFonts w:hint="eastAsia" w:ascii="宋体" w:hAnsi="宋体" w:eastAsia="宋体" w:cstheme="minorEastAsia"/>
          <w:sz w:val="24"/>
        </w:rPr>
        <w:t xml:space="preserve">  承诺单位：(公章)</w:t>
      </w:r>
    </w:p>
    <w:p w14:paraId="43651168">
      <w:pPr>
        <w:jc w:val="center"/>
        <w:rPr>
          <w:rFonts w:ascii="宋体" w:hAnsi="宋体" w:eastAsia="宋体" w:cstheme="minorEastAsia"/>
          <w:sz w:val="24"/>
        </w:rPr>
      </w:pPr>
    </w:p>
    <w:p w14:paraId="175995E1">
      <w:pPr>
        <w:jc w:val="center"/>
        <w:rPr>
          <w:rFonts w:ascii="宋体" w:hAnsi="宋体" w:eastAsia="宋体" w:cstheme="minorEastAsia"/>
          <w:sz w:val="24"/>
        </w:rPr>
      </w:pPr>
      <w:r>
        <w:rPr>
          <w:rFonts w:hint="eastAsia" w:ascii="宋体" w:hAnsi="宋体" w:eastAsia="宋体" w:cstheme="minorEastAsia"/>
          <w:sz w:val="24"/>
        </w:rPr>
        <w:t xml:space="preserve">           法定代表人：(签字或盖章)</w:t>
      </w:r>
    </w:p>
    <w:p w14:paraId="62D79D12">
      <w:pPr>
        <w:rPr>
          <w:rFonts w:ascii="宋体" w:hAnsi="宋体" w:eastAsia="宋体" w:cstheme="minorEastAsia"/>
          <w:sz w:val="24"/>
        </w:rPr>
      </w:pPr>
    </w:p>
    <w:p w14:paraId="04B1AE8F">
      <w:pPr>
        <w:ind w:firstLine="3360" w:firstLineChars="1400"/>
        <w:rPr>
          <w:rFonts w:ascii="宋体" w:hAnsi="宋体" w:eastAsia="宋体" w:cstheme="minorEastAsia"/>
          <w:sz w:val="24"/>
        </w:rPr>
      </w:pPr>
      <w:r>
        <w:rPr>
          <w:rFonts w:hint="eastAsia" w:ascii="宋体" w:hAnsi="宋体" w:eastAsia="宋体" w:cstheme="minorEastAsia"/>
          <w:sz w:val="24"/>
        </w:rPr>
        <w:t>承诺日期：</w:t>
      </w:r>
    </w:p>
    <w:p w14:paraId="2F825075">
      <w:pPr>
        <w:ind w:firstLine="3840" w:firstLineChars="1600"/>
        <w:rPr>
          <w:rFonts w:ascii="宋体" w:hAnsi="宋体" w:eastAsia="宋体" w:cstheme="minorEastAsia"/>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6028155"/>
      <w:docPartObj>
        <w:docPartGallery w:val="autotext"/>
      </w:docPartObj>
    </w:sdtPr>
    <w:sdtContent>
      <w:p w14:paraId="564174AF">
        <w:pPr>
          <w:pStyle w:val="9"/>
          <w:jc w:val="right"/>
        </w:pPr>
        <w:r>
          <w:fldChar w:fldCharType="begin"/>
        </w:r>
        <w:r>
          <w:instrText xml:space="preserve">PAGE   \* MERGEFORMAT</w:instrText>
        </w:r>
        <w:r>
          <w:fldChar w:fldCharType="separate"/>
        </w:r>
        <w:r>
          <w:rPr>
            <w:lang w:val="zh-CN"/>
          </w:rPr>
          <w:t>13</w:t>
        </w:r>
        <w:r>
          <w:fldChar w:fldCharType="end"/>
        </w:r>
      </w:p>
    </w:sdtContent>
  </w:sdt>
  <w:p w14:paraId="282647F9">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545"/>
    <w:rsid w:val="0001209B"/>
    <w:rsid w:val="000413C2"/>
    <w:rsid w:val="00051258"/>
    <w:rsid w:val="00060FA8"/>
    <w:rsid w:val="00063EBB"/>
    <w:rsid w:val="000B251B"/>
    <w:rsid w:val="000E38C9"/>
    <w:rsid w:val="00111848"/>
    <w:rsid w:val="00122434"/>
    <w:rsid w:val="0012775E"/>
    <w:rsid w:val="00135E14"/>
    <w:rsid w:val="001771F1"/>
    <w:rsid w:val="00187CE8"/>
    <w:rsid w:val="001D400E"/>
    <w:rsid w:val="001D68AA"/>
    <w:rsid w:val="001F22BB"/>
    <w:rsid w:val="00204A44"/>
    <w:rsid w:val="00241BA1"/>
    <w:rsid w:val="002D3B65"/>
    <w:rsid w:val="003133B3"/>
    <w:rsid w:val="00316B66"/>
    <w:rsid w:val="00374FAB"/>
    <w:rsid w:val="003B6B0F"/>
    <w:rsid w:val="003D7E5D"/>
    <w:rsid w:val="003E5B55"/>
    <w:rsid w:val="004029D3"/>
    <w:rsid w:val="00422F1A"/>
    <w:rsid w:val="004329D1"/>
    <w:rsid w:val="004332C2"/>
    <w:rsid w:val="00436596"/>
    <w:rsid w:val="0045083C"/>
    <w:rsid w:val="0046227D"/>
    <w:rsid w:val="004C6A30"/>
    <w:rsid w:val="004E05A3"/>
    <w:rsid w:val="0050752E"/>
    <w:rsid w:val="00511EE8"/>
    <w:rsid w:val="0051284A"/>
    <w:rsid w:val="00541715"/>
    <w:rsid w:val="006466A2"/>
    <w:rsid w:val="00657000"/>
    <w:rsid w:val="00694E98"/>
    <w:rsid w:val="006A6699"/>
    <w:rsid w:val="006B5E19"/>
    <w:rsid w:val="006C0EAD"/>
    <w:rsid w:val="007203F4"/>
    <w:rsid w:val="0072553D"/>
    <w:rsid w:val="00740BC9"/>
    <w:rsid w:val="00760B1F"/>
    <w:rsid w:val="0077323E"/>
    <w:rsid w:val="00787518"/>
    <w:rsid w:val="007B229B"/>
    <w:rsid w:val="00811A56"/>
    <w:rsid w:val="00821D23"/>
    <w:rsid w:val="008360E5"/>
    <w:rsid w:val="00837957"/>
    <w:rsid w:val="00840A8F"/>
    <w:rsid w:val="008539D2"/>
    <w:rsid w:val="008652BA"/>
    <w:rsid w:val="008811BA"/>
    <w:rsid w:val="008F09B3"/>
    <w:rsid w:val="0092423E"/>
    <w:rsid w:val="0094573A"/>
    <w:rsid w:val="0096028B"/>
    <w:rsid w:val="009A77DD"/>
    <w:rsid w:val="009B7546"/>
    <w:rsid w:val="009C13AA"/>
    <w:rsid w:val="009D4BE2"/>
    <w:rsid w:val="009F378F"/>
    <w:rsid w:val="00A0126E"/>
    <w:rsid w:val="00A03729"/>
    <w:rsid w:val="00A66035"/>
    <w:rsid w:val="00AB3651"/>
    <w:rsid w:val="00AF1294"/>
    <w:rsid w:val="00AF1FC9"/>
    <w:rsid w:val="00AF7653"/>
    <w:rsid w:val="00AF7E83"/>
    <w:rsid w:val="00B00279"/>
    <w:rsid w:val="00B032C9"/>
    <w:rsid w:val="00B1410C"/>
    <w:rsid w:val="00B14275"/>
    <w:rsid w:val="00B4158E"/>
    <w:rsid w:val="00B60CE6"/>
    <w:rsid w:val="00B62F9B"/>
    <w:rsid w:val="00B75422"/>
    <w:rsid w:val="00B93786"/>
    <w:rsid w:val="00BB7759"/>
    <w:rsid w:val="00BC14EC"/>
    <w:rsid w:val="00BD71C8"/>
    <w:rsid w:val="00BE5214"/>
    <w:rsid w:val="00BF3937"/>
    <w:rsid w:val="00BF6D5C"/>
    <w:rsid w:val="00C000B9"/>
    <w:rsid w:val="00C011CC"/>
    <w:rsid w:val="00C13881"/>
    <w:rsid w:val="00C17E1C"/>
    <w:rsid w:val="00C40545"/>
    <w:rsid w:val="00C72441"/>
    <w:rsid w:val="00C7778D"/>
    <w:rsid w:val="00C920C5"/>
    <w:rsid w:val="00C96BD7"/>
    <w:rsid w:val="00CA6528"/>
    <w:rsid w:val="00CC56D0"/>
    <w:rsid w:val="00CD083D"/>
    <w:rsid w:val="00CE6791"/>
    <w:rsid w:val="00CF1231"/>
    <w:rsid w:val="00D06B7C"/>
    <w:rsid w:val="00D12137"/>
    <w:rsid w:val="00D1270E"/>
    <w:rsid w:val="00D40E2C"/>
    <w:rsid w:val="00D5572C"/>
    <w:rsid w:val="00DB2C85"/>
    <w:rsid w:val="00DC71E6"/>
    <w:rsid w:val="00DD2CF2"/>
    <w:rsid w:val="00E05A82"/>
    <w:rsid w:val="00E24E4B"/>
    <w:rsid w:val="00E302A1"/>
    <w:rsid w:val="00E42533"/>
    <w:rsid w:val="00E808B0"/>
    <w:rsid w:val="00EA41BF"/>
    <w:rsid w:val="00EB06CB"/>
    <w:rsid w:val="00EE6CA8"/>
    <w:rsid w:val="00EF57DF"/>
    <w:rsid w:val="00F17781"/>
    <w:rsid w:val="00F32426"/>
    <w:rsid w:val="00F56A7A"/>
    <w:rsid w:val="00FF0CBC"/>
    <w:rsid w:val="02880D31"/>
    <w:rsid w:val="079544FB"/>
    <w:rsid w:val="095931C8"/>
    <w:rsid w:val="134D727F"/>
    <w:rsid w:val="15020822"/>
    <w:rsid w:val="18FF0624"/>
    <w:rsid w:val="1F226CEB"/>
    <w:rsid w:val="278F0C96"/>
    <w:rsid w:val="30281C88"/>
    <w:rsid w:val="413B7996"/>
    <w:rsid w:val="4B600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18"/>
    <w:unhideWhenUsed/>
    <w:qFormat/>
    <w:uiPriority w:val="99"/>
    <w:pPr>
      <w:spacing w:after="120"/>
      <w:ind w:left="420" w:leftChars="200"/>
    </w:pPr>
  </w:style>
  <w:style w:type="paragraph" w:styleId="3">
    <w:name w:val="envelope return"/>
    <w:basedOn w:val="1"/>
    <w:unhideWhenUsed/>
    <w:qFormat/>
    <w:uiPriority w:val="99"/>
    <w:pPr>
      <w:snapToGrid w:val="0"/>
    </w:pPr>
    <w:rPr>
      <w:rFonts w:ascii="Arial" w:hAnsi="Arial"/>
    </w:rPr>
  </w:style>
  <w:style w:type="paragraph" w:styleId="4">
    <w:name w:val="Normal Indent"/>
    <w:basedOn w:val="1"/>
    <w:semiHidden/>
    <w:unhideWhenUsed/>
    <w:qFormat/>
    <w:uiPriority w:val="99"/>
    <w:pPr>
      <w:ind w:firstLine="420" w:firstLineChars="200"/>
    </w:pPr>
  </w:style>
  <w:style w:type="paragraph" w:styleId="5">
    <w:name w:val="Body Text 3"/>
    <w:basedOn w:val="1"/>
    <w:link w:val="24"/>
    <w:qFormat/>
    <w:uiPriority w:val="0"/>
    <w:pPr>
      <w:adjustRightInd w:val="0"/>
      <w:spacing w:after="120" w:line="360" w:lineRule="atLeast"/>
      <w:jc w:val="left"/>
    </w:pPr>
    <w:rPr>
      <w:rFonts w:ascii="Times New Roman" w:hAnsi="Times New Roman" w:eastAsia="宋体" w:cs="Times New Roman"/>
      <w:kern w:val="0"/>
      <w:sz w:val="16"/>
      <w:szCs w:val="16"/>
    </w:rPr>
  </w:style>
  <w:style w:type="paragraph" w:styleId="6">
    <w:name w:val="Body Text"/>
    <w:basedOn w:val="1"/>
    <w:link w:val="22"/>
    <w:semiHidden/>
    <w:unhideWhenUsed/>
    <w:qFormat/>
    <w:uiPriority w:val="99"/>
    <w:pPr>
      <w:spacing w:after="120"/>
    </w:pPr>
  </w:style>
  <w:style w:type="paragraph" w:styleId="7">
    <w:name w:val="Plain Text"/>
    <w:basedOn w:val="1"/>
    <w:next w:val="4"/>
    <w:link w:val="26"/>
    <w:qFormat/>
    <w:uiPriority w:val="0"/>
    <w:pPr>
      <w:widowControl/>
      <w:spacing w:after="200" w:line="252" w:lineRule="auto"/>
      <w:jc w:val="left"/>
    </w:pPr>
    <w:rPr>
      <w:rFonts w:ascii="宋体" w:hAnsi="Courier New" w:eastAsia="宋体" w:cs="Times New Roman"/>
      <w:szCs w:val="20"/>
    </w:rPr>
  </w:style>
  <w:style w:type="paragraph" w:styleId="8">
    <w:name w:val="Balloon Text"/>
    <w:basedOn w:val="1"/>
    <w:link w:val="23"/>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w:basedOn w:val="6"/>
    <w:link w:val="28"/>
    <w:semiHidden/>
    <w:unhideWhenUsed/>
    <w:qFormat/>
    <w:uiPriority w:val="99"/>
    <w:pPr>
      <w:ind w:firstLine="420" w:firstLineChars="100"/>
    </w:pPr>
  </w:style>
  <w:style w:type="paragraph" w:styleId="12">
    <w:name w:val="Body Text First Indent 2"/>
    <w:basedOn w:val="2"/>
    <w:link w:val="19"/>
    <w:qFormat/>
    <w:uiPriority w:val="99"/>
    <w:pPr>
      <w:ind w:firstLine="420" w:firstLineChars="200"/>
    </w:pPr>
    <w:rPr>
      <w:rFonts w:ascii="Times New Roman" w:hAnsi="Times New Roman" w:eastAsia="宋体" w:cs="Times New Roman"/>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页眉 字符"/>
    <w:basedOn w:val="15"/>
    <w:link w:val="10"/>
    <w:qFormat/>
    <w:uiPriority w:val="99"/>
    <w:rPr>
      <w:sz w:val="18"/>
      <w:szCs w:val="18"/>
    </w:rPr>
  </w:style>
  <w:style w:type="character" w:customStyle="1" w:styleId="17">
    <w:name w:val="页脚 字符"/>
    <w:basedOn w:val="15"/>
    <w:link w:val="9"/>
    <w:qFormat/>
    <w:uiPriority w:val="99"/>
    <w:rPr>
      <w:sz w:val="18"/>
      <w:szCs w:val="18"/>
    </w:rPr>
  </w:style>
  <w:style w:type="character" w:customStyle="1" w:styleId="18">
    <w:name w:val="正文文本缩进 字符"/>
    <w:basedOn w:val="15"/>
    <w:link w:val="2"/>
    <w:qFormat/>
    <w:uiPriority w:val="99"/>
    <w:rPr>
      <w:szCs w:val="24"/>
    </w:rPr>
  </w:style>
  <w:style w:type="character" w:customStyle="1" w:styleId="19">
    <w:name w:val="正文文本首行缩进 2 字符"/>
    <w:basedOn w:val="18"/>
    <w:link w:val="12"/>
    <w:qFormat/>
    <w:uiPriority w:val="99"/>
    <w:rPr>
      <w:rFonts w:ascii="Times New Roman" w:hAnsi="Times New Roman" w:eastAsia="宋体" w:cs="Times New Roman"/>
      <w:szCs w:val="24"/>
    </w:rPr>
  </w:style>
  <w:style w:type="paragraph" w:customStyle="1" w:styleId="20">
    <w:name w:val="无间隔1"/>
    <w:qFormat/>
    <w:uiPriority w:val="0"/>
    <w:rPr>
      <w:rFonts w:ascii="Times New Roman" w:hAnsi="Times New Roman" w:eastAsia="宋体" w:cs="Times New Roman"/>
      <w:kern w:val="0"/>
      <w:sz w:val="22"/>
      <w:szCs w:val="22"/>
      <w:lang w:val="en-US" w:eastAsia="en-US" w:bidi="en-US"/>
    </w:rPr>
  </w:style>
  <w:style w:type="paragraph" w:styleId="21">
    <w:name w:val="List Paragraph"/>
    <w:basedOn w:val="1"/>
    <w:qFormat/>
    <w:uiPriority w:val="34"/>
    <w:pPr>
      <w:ind w:firstLine="420" w:firstLineChars="200"/>
    </w:pPr>
  </w:style>
  <w:style w:type="character" w:customStyle="1" w:styleId="22">
    <w:name w:val="正文文本 字符"/>
    <w:basedOn w:val="15"/>
    <w:link w:val="6"/>
    <w:semiHidden/>
    <w:qFormat/>
    <w:uiPriority w:val="99"/>
    <w:rPr>
      <w:szCs w:val="24"/>
    </w:rPr>
  </w:style>
  <w:style w:type="character" w:customStyle="1" w:styleId="23">
    <w:name w:val="批注框文本 字符"/>
    <w:basedOn w:val="15"/>
    <w:link w:val="8"/>
    <w:semiHidden/>
    <w:qFormat/>
    <w:uiPriority w:val="99"/>
    <w:rPr>
      <w:sz w:val="18"/>
      <w:szCs w:val="18"/>
    </w:rPr>
  </w:style>
  <w:style w:type="character" w:customStyle="1" w:styleId="24">
    <w:name w:val="正文文本 3 字符"/>
    <w:basedOn w:val="15"/>
    <w:link w:val="5"/>
    <w:qFormat/>
    <w:uiPriority w:val="0"/>
    <w:rPr>
      <w:rFonts w:ascii="Times New Roman" w:hAnsi="Times New Roman" w:eastAsia="宋体" w:cs="Times New Roman"/>
      <w:kern w:val="0"/>
      <w:sz w:val="16"/>
      <w:szCs w:val="16"/>
    </w:rPr>
  </w:style>
  <w:style w:type="paragraph" w:customStyle="1" w:styleId="25">
    <w:name w:val="Nalco Body Copy"/>
    <w:basedOn w:val="1"/>
    <w:qFormat/>
    <w:uiPriority w:val="0"/>
    <w:pPr>
      <w:widowControl/>
      <w:spacing w:line="280" w:lineRule="exact"/>
      <w:jc w:val="left"/>
    </w:pPr>
    <w:rPr>
      <w:rFonts w:ascii="Verdana" w:hAnsi="Verdana" w:eastAsia="PMingLiU" w:cs="Times New Roman"/>
      <w:kern w:val="0"/>
      <w:sz w:val="22"/>
      <w:szCs w:val="20"/>
      <w:lang w:eastAsia="en-US"/>
    </w:rPr>
  </w:style>
  <w:style w:type="character" w:customStyle="1" w:styleId="26">
    <w:name w:val="纯文本 字符"/>
    <w:basedOn w:val="15"/>
    <w:link w:val="7"/>
    <w:qFormat/>
    <w:uiPriority w:val="0"/>
    <w:rPr>
      <w:rFonts w:ascii="宋体" w:hAnsi="Courier New" w:eastAsia="宋体" w:cs="Times New Roman"/>
      <w:szCs w:val="20"/>
    </w:rPr>
  </w:style>
  <w:style w:type="paragraph" w:customStyle="1" w:styleId="27">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rPr>
  </w:style>
  <w:style w:type="character" w:customStyle="1" w:styleId="28">
    <w:name w:val="正文文本首行缩进 字符"/>
    <w:basedOn w:val="22"/>
    <w:link w:val="11"/>
    <w:semiHidden/>
    <w:qFormat/>
    <w:uiPriority w:val="99"/>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EB50A-50D6-4BCB-AEB0-B9F69BBA79C3}">
  <ds:schemaRefs/>
</ds:datastoreItem>
</file>

<file path=docProps/app.xml><?xml version="1.0" encoding="utf-8"?>
<Properties xmlns="http://schemas.openxmlformats.org/officeDocument/2006/extended-properties" xmlns:vt="http://schemas.openxmlformats.org/officeDocument/2006/docPropsVTypes">
  <Template>Normal</Template>
  <Company>Marriott International</Company>
  <Pages>20</Pages>
  <Words>9866</Words>
  <Characters>10109</Characters>
  <Lines>78</Lines>
  <Paragraphs>22</Paragraphs>
  <TotalTime>39</TotalTime>
  <ScaleCrop>false</ScaleCrop>
  <LinksUpToDate>false</LinksUpToDate>
  <CharactersWithSpaces>10482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2023-10-25T00:47:00Z</dcterms:created>
  <dc:creator>Yao, Tony</dc:creator>
  <cp:lastModifiedBy>G____</cp:lastModifiedBy>
  <cp:lastPrinted>2025-07-08T09:10:00Z</cp:lastPrinted>
  <dcterms:modified xsi:type="dcterms:W3CDTF">2025-08-22T05:46:33Z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BD4F28678AF240BEBF0A905D0788D28D_13</vt:lpwstr>
  </property>
  <property fmtid="{D5CDD505-2E9C-101B-9397-08002B2CF9AE}" pid="4" name="KSOTemplateDocerSaveRecord">
    <vt:lpwstr>eyJoZGlkIjoiM2QxOTAxZGRjY2NmNGM5NWUxMDBmMThiN2RjMWRkMjYiLCJ1c2VySWQiOiI0NDE0OTAyMDQifQ==</vt:lpwstr>
  </property>
</Properties>
</file>