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52" w:firstLineChars="150"/>
        <w:jc w:val="center"/>
        <w:rPr>
          <w:rFonts w:hint="eastAsia" w:ascii="方正黑体_GBK" w:hAnsi="方正黑体_GBK" w:eastAsia="方正黑体_GBK" w:cs="方正黑体_GBK"/>
          <w:b/>
          <w:sz w:val="30"/>
          <w:szCs w:val="30"/>
        </w:rPr>
      </w:pPr>
      <w:r>
        <w:rPr>
          <w:rFonts w:hint="eastAsia" w:ascii="方正黑体_GBK" w:hAnsi="方正黑体_GBK" w:eastAsia="方正黑体_GBK" w:cs="方正黑体_GBK"/>
          <w:b/>
          <w:sz w:val="30"/>
          <w:szCs w:val="30"/>
        </w:rPr>
        <w:t>控制箱技术要求</w:t>
      </w:r>
    </w:p>
    <w:p>
      <w:pPr>
        <w:spacing w:line="360" w:lineRule="auto"/>
        <w:ind w:firstLine="562" w:firstLineChars="200"/>
        <w:rPr>
          <w:rFonts w:hint="eastAsia" w:ascii="仿宋_GB2312" w:hAnsi="宋体" w:eastAsia="仿宋_GB2312"/>
          <w:b/>
          <w:sz w:val="28"/>
          <w:szCs w:val="28"/>
        </w:rPr>
      </w:pPr>
      <w:r>
        <w:rPr>
          <w:rFonts w:hint="eastAsia" w:ascii="仿宋_GB2312" w:hAnsi="宋体" w:eastAsia="仿宋_GB2312"/>
          <w:b/>
          <w:sz w:val="28"/>
          <w:szCs w:val="28"/>
        </w:rPr>
        <w:t>1、箱体柜体</w:t>
      </w:r>
    </w:p>
    <w:p>
      <w:pPr>
        <w:tabs>
          <w:tab w:val="left" w:pos="5325"/>
        </w:tabs>
        <w:autoSpaceDE w:val="0"/>
        <w:autoSpaceDN w:val="0"/>
        <w:adjustRightInd w:val="0"/>
        <w:snapToGrid w:val="0"/>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配电箱、柜严格按照设计图纸制作，明细中未标明尺寸请各投标单位按实际需要制作。</w:t>
      </w:r>
    </w:p>
    <w:p>
      <w:pPr>
        <w:tabs>
          <w:tab w:val="left" w:pos="5325"/>
        </w:tabs>
        <w:autoSpaceDE w:val="0"/>
        <w:autoSpaceDN w:val="0"/>
        <w:adjustRightInd w:val="0"/>
        <w:snapToGrid w:val="0"/>
        <w:spacing w:line="360" w:lineRule="auto"/>
        <w:ind w:firstLine="562" w:firstLineChars="200"/>
        <w:rPr>
          <w:rFonts w:hint="eastAsia" w:ascii="仿宋_GB2312" w:eastAsia="仿宋_GB2312" w:cs="仿宋_GB2312"/>
          <w:b/>
          <w:bCs/>
          <w:sz w:val="28"/>
          <w:szCs w:val="28"/>
          <w:lang w:val="zh-CN"/>
        </w:rPr>
      </w:pPr>
      <w:r>
        <w:rPr>
          <w:rFonts w:hint="eastAsia" w:ascii="仿宋_GB2312" w:eastAsia="仿宋_GB2312" w:cs="仿宋_GB2312"/>
          <w:b/>
          <w:bCs/>
          <w:sz w:val="28"/>
          <w:szCs w:val="28"/>
          <w:lang w:val="zh-CN"/>
        </w:rPr>
        <w:t>控制箱尺寸图、系统原理图（详见附图）</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1.1箱体用料应选用304优质不锈钢板，柜外壳颜色为墨绿色。</w:t>
      </w:r>
      <w:r>
        <w:rPr>
          <w:rFonts w:hint="eastAsia" w:ascii="仿宋_GB2312" w:hAnsi="宋体" w:eastAsia="仿宋_GB2312"/>
          <w:b/>
          <w:sz w:val="28"/>
          <w:szCs w:val="28"/>
        </w:rPr>
        <w:t>箱体及箱门厚度不小于2毫米。并统一采用优质不锈钢板，箱内二层板厚度不小于2mm；并应作好防腐处理</w:t>
      </w:r>
      <w:r>
        <w:rPr>
          <w:rFonts w:hint="eastAsia" w:ascii="仿宋_GB2312" w:hAnsi="宋体" w:eastAsia="仿宋_GB2312"/>
          <w:sz w:val="28"/>
          <w:szCs w:val="28"/>
        </w:rPr>
        <w:t>。箱体内外壁采用喷塑处理。</w:t>
      </w:r>
    </w:p>
    <w:p>
      <w:pPr>
        <w:ind w:firstLine="548" w:firstLineChars="196"/>
        <w:rPr>
          <w:rFonts w:hint="eastAsia" w:ascii="仿宋_GB2312" w:hAnsi="宋体" w:eastAsia="仿宋_GB2312"/>
          <w:color w:val="FFC000"/>
          <w:sz w:val="28"/>
          <w:szCs w:val="28"/>
        </w:rPr>
      </w:pPr>
      <w:r>
        <w:rPr>
          <w:rFonts w:hint="eastAsia" w:ascii="仿宋_GB2312" w:hAnsi="宋体" w:eastAsia="仿宋_GB2312"/>
          <w:sz w:val="28"/>
          <w:szCs w:val="28"/>
        </w:rPr>
        <w:t>1.2箱体上半部分为计量、数据采集间隔，间隔内应配置可供安装电能表、采集器的专用夹具，合理布局，确保电表、采集器能顺利安装。电表和进火保险RTO固定时，其与横档之间加一块绝缘板。</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1.3配电箱必须有保护板（覆板）确保带电部分不外露，箱内盘面要求采用不锈钢板。配电箱、柜的金属部分：包括电器的安装板、支架和电器金属外壳等均良好接地，配电箱、柜的门、敷板等处装设电器，并可开启时以裸铜软线与接地金属构架可靠连接。</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1.4表面平整、无损坏，配电箱的外观颜色以招标人要求为准。</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1.5箱门（大门、小门）开门角度不小于100度。配电箱计量柜门采用透明形式（可观察到箱内元器件的闭合），箱锁采用不锈钢双三角门锁加不锈钢挂锁的组合，投标人须做好挂锁耳子，注意门与箱体的密合性。</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1.6箱体公差应满足国家、地区的行业相关规定。</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1.7箱体尺寸应满足相关设计要求。投标单位应注意配电箱进出线的尺寸预留，为施工接线方便考虑。</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1.8箱门内侧应附有该箱的电气系统图放置框，出厂时配有电气系统图，并标注回路功能。</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1.9箱体铭牌要求注明厂家、箱体型号、生产日期、耐压等级，并注意铭牌的设置不影响箱体的外观。</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1.10箱体表面涂层应完整，无损伤和明显碰撞凹陷，尺寸正确无变形，柜内元器件无损坏丢失，接线无脱落焊。</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1.11 配备独立控制箱底座，底座采用12号热镀锌槽钢制作，底座整体热镀锌，外表面进行喷塑处理，颜色为墨绿色。</w:t>
      </w:r>
    </w:p>
    <w:p>
      <w:pPr>
        <w:ind w:firstLine="551" w:firstLineChars="196"/>
        <w:rPr>
          <w:rFonts w:hint="eastAsia" w:ascii="仿宋_GB2312" w:hAnsi="宋体" w:eastAsia="仿宋_GB2312"/>
          <w:b/>
          <w:sz w:val="28"/>
          <w:szCs w:val="28"/>
        </w:rPr>
      </w:pPr>
      <w:r>
        <w:rPr>
          <w:rFonts w:hint="eastAsia" w:ascii="仿宋_GB2312" w:hAnsi="宋体" w:eastAsia="仿宋_GB2312"/>
          <w:b/>
          <w:sz w:val="28"/>
          <w:szCs w:val="28"/>
        </w:rPr>
        <w:t>2、配电箱、柜元器件</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2.1全部元器件应外观良好，电器性能合格并符合图纸要求，标识完整。</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2.2元器件应固定牢固可靠，打孔攻丝安装，不用自攻自转螺丝。配电箱、柜内的电器、仪表等需进行检测及电气耐压、耐流试验。</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2.3成排元器件安装应整齐美观，横平竖直，接地完好。</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2.4门上元器件应有功能标牌，配电箱、柜内的空开、指示灯、按钮、旋转开关等操作及控制和指示元器件下方必须有固定牢固的标签框和机打标签。</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2.5电气间隙、爬电距离符合相关规定。</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2.6接地装置完整，标志清晰，并按国家有关规范安装。</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2.7配电箱内应有专用接地螺丝。</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2.8配电箱内设置单独零线铜排和地线铜排，零排、地排的容量必须经过计算且足够大，箱内零排、地排严禁打孔，套口方式使用螺钉压接、零线、地线箱门板装有电气元件的，门板用裸铜软编织线可靠接地。</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2.9配电箱及箱内所用开关、元件、配件、导线必须具有CCC认证标志。并要求有供应厂家及经销商的正式文件。</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2.10所有紧固件采用304不锈钢。</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2.11熔断器RTO,安装间距60mm-80mm；熔断器底座触头上的螺母要焊接在触头上。</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2.12无线灯光监控终端的电瓶要用卡座固定好。</w:t>
      </w:r>
    </w:p>
    <w:p>
      <w:pPr>
        <w:ind w:firstLine="551" w:firstLineChars="196"/>
        <w:rPr>
          <w:rFonts w:hint="eastAsia" w:ascii="仿宋_GB2312" w:hAnsi="宋体" w:eastAsia="仿宋_GB2312"/>
          <w:b/>
          <w:sz w:val="28"/>
          <w:szCs w:val="28"/>
        </w:rPr>
      </w:pPr>
      <w:r>
        <w:rPr>
          <w:rFonts w:hint="eastAsia" w:ascii="仿宋_GB2312" w:hAnsi="宋体" w:eastAsia="仿宋_GB2312"/>
          <w:b/>
          <w:sz w:val="28"/>
          <w:szCs w:val="28"/>
        </w:rPr>
        <w:t>3、配线</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3.1箱内配线要求工整，PE线为黄绿双色塑铜线及软编织铜线，零线为蓝色塑铜线，A、B、C三相按相序分黄、绿、红色（不得采用分色套管）。</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3.2箱内导线压接线牢固，无压塑皮、反扣，线头露出小于2mm。螺钉露出2~5扣，线材符合国家标准。配线额定电压、芯线截面积应满足系统图及国家标准要求。</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3.3元器件上未接线的螺钉应紧固，防止运输或搬运过程中松动脱落，危及用电安全。</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3.4配线应符号标注齐全、清晰，方向正确，同一配电箱内符号管长度一致。</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3.5线末排列整齐，接地完好。</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3.6端子排列号齐全，有功能或回路名称，不同回路应以标记端子分离。</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3.7元器件进出线应标示清晰，方便查看。</w:t>
      </w:r>
    </w:p>
    <w:p>
      <w:p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3.8元器件固定须先钻孔、攻丝，再用螺丝固定。固定需要考虑后期维修更换。</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3.9线束过门使用多股软线，其弯曲半径为线末直径的10倍，过门线两端必须有牢固的捆扎点，使线束不致因门的开启而损伤，并应缠绕螺旋塑料管。</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3.10电箱内的二次线与一次线严格分开，不得混在一起，且二次线应按控制原理图做好标记。</w:t>
      </w:r>
      <w:r>
        <w:rPr>
          <w:rFonts w:hint="eastAsia" w:ascii="仿宋_GB2312" w:hAnsi="宋体" w:eastAsia="仿宋_GB2312"/>
          <w:b/>
          <w:bCs/>
          <w:sz w:val="28"/>
          <w:szCs w:val="28"/>
        </w:rPr>
        <w:t>不含无线灯光监控终端的控制箱，要把接入该终端的线布置到位，符号管标注清晰准确。</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3.11配电箱、柜所装的各种开关、继电器，当处于断开状态时，可动部分不宜带电；垂直安装时上端接电源，下端接负荷，水平安装时，左端接电源，右端接负荷。（指面对配电装置）</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3.12电器安装后的配线须排列整齐，用尼龙带绑扎成束或敷于专用线槽内，并卡固在板后或柜内安装架处，配线应留适当长度。</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3.13分层配电箱接线应考虑干线进出，开关接线端子应与导线截面匹配。</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3.14配电箱、柜装有计量仪表的导线；如多芯铜线须采用套管或线鼻压接，并做好搪锡。</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3.15配电箱、柜应考虑电缆的安装空间。配备电缆线固定夹具。配电箱、柜的箱体、二层地板、面板均须有明显而不易脱落的与图纸相符的设计编号。</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3.16凡是两根以上电缆（包括有П接的电缆）进一个开关的配电箱总开关上端须要设过度处理装置，过度处理装置的规格必须与系统图中电缆规格相匹配。</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3.17配电箱、柜内的PE线不得串接，与活动部件连接的PE线必须采用铜质涮锡软编织线穿透明塑料管，同一接地端子最多只能压一根PE线，PE线截面应符合施工规范要求。</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3.18不等截面的两根导线严禁压在一个端子上。等截面的导线（6平方毫米以下）一个端子上最多只能压两根。</w:t>
      </w:r>
    </w:p>
    <w:p>
      <w:pPr>
        <w:ind w:firstLine="548" w:firstLineChars="196"/>
        <w:rPr>
          <w:rFonts w:hint="eastAsia" w:ascii="仿宋_GB2312" w:hAnsi="宋体" w:eastAsia="仿宋_GB2312"/>
          <w:color w:val="0000FF"/>
          <w:sz w:val="28"/>
          <w:szCs w:val="28"/>
        </w:rPr>
      </w:pPr>
      <w:r>
        <w:rPr>
          <w:rFonts w:hint="eastAsia" w:ascii="仿宋_GB2312" w:hAnsi="宋体" w:eastAsia="仿宋_GB2312"/>
          <w:color w:val="0000FF"/>
          <w:sz w:val="28"/>
          <w:szCs w:val="28"/>
        </w:rPr>
        <w:t>3.19供电电表的抄表终端电源2P空气开关（接表前）16A，位置放于电表附近；外接电源预留2P空气开关1只（接表后）32A，线径10mm</w:t>
      </w:r>
      <w:r>
        <w:rPr>
          <w:rFonts w:ascii="Calibri" w:hAnsi="Calibri" w:eastAsia="仿宋_GB2312" w:cs="Calibri"/>
          <w:color w:val="0000FF"/>
          <w:sz w:val="28"/>
          <w:szCs w:val="28"/>
        </w:rPr>
        <w:t>²</w:t>
      </w:r>
      <w:r>
        <w:rPr>
          <w:rFonts w:hint="eastAsia" w:ascii="仿宋" w:hAnsi="仿宋" w:eastAsia="仿宋" w:cs="仿宋"/>
          <w:color w:val="0000FF"/>
          <w:sz w:val="28"/>
          <w:szCs w:val="28"/>
        </w:rPr>
        <w:t>，预留电表架。</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3.20电流互感器的铭牌规格要与实际参数要相符。</w:t>
      </w:r>
    </w:p>
    <w:p>
      <w:pPr>
        <w:ind w:firstLine="548" w:firstLineChars="196"/>
        <w:rPr>
          <w:rFonts w:hint="eastAsia" w:ascii="仿宋_GB2312" w:hAnsi="宋体" w:eastAsia="仿宋_GB2312"/>
          <w:color w:val="0000FF"/>
          <w:sz w:val="28"/>
          <w:szCs w:val="28"/>
        </w:rPr>
      </w:pPr>
      <w:r>
        <w:rPr>
          <w:rFonts w:hint="eastAsia" w:ascii="仿宋_GB2312" w:hAnsi="宋体" w:eastAsia="仿宋_GB2312"/>
          <w:color w:val="0000FF"/>
          <w:sz w:val="28"/>
          <w:szCs w:val="28"/>
        </w:rPr>
        <w:t>3.21安装漏电检测终端，每一组空气开关下方安装一只零序电流互感器，固定在空气开关下一层横档上。漏电检测终端检测回路不小于8回路。</w:t>
      </w:r>
    </w:p>
    <w:p>
      <w:pPr>
        <w:ind w:firstLine="548" w:firstLineChars="196"/>
        <w:rPr>
          <w:rFonts w:hint="eastAsia" w:ascii="仿宋_GB2312" w:hAnsi="宋体" w:eastAsia="仿宋_GB2312"/>
          <w:sz w:val="28"/>
          <w:szCs w:val="28"/>
        </w:rPr>
      </w:pPr>
    </w:p>
    <w:p>
      <w:pPr>
        <w:rPr>
          <w:rFonts w:hint="eastAsia" w:ascii="仿宋_GB2312" w:hAnsi="宋体" w:eastAsia="仿宋_GB2312"/>
          <w:sz w:val="28"/>
          <w:szCs w:val="28"/>
        </w:rPr>
      </w:pPr>
    </w:p>
    <w:p>
      <w:pPr>
        <w:ind w:firstLine="551" w:firstLineChars="196"/>
        <w:rPr>
          <w:rFonts w:hint="eastAsia" w:ascii="仿宋_GB2312" w:hAnsi="宋体" w:eastAsia="仿宋_GB2312"/>
          <w:b/>
          <w:sz w:val="28"/>
          <w:szCs w:val="28"/>
          <w:lang w:val="en-US" w:eastAsia="zh-CN"/>
        </w:rPr>
      </w:pPr>
      <w:r>
        <w:rPr>
          <w:rFonts w:hint="eastAsia" w:ascii="仿宋_GB2312" w:hAnsi="宋体" w:eastAsia="仿宋_GB2312"/>
          <w:b/>
          <w:sz w:val="28"/>
          <w:szCs w:val="28"/>
        </w:rPr>
        <w:t>4、随机备件</w:t>
      </w:r>
      <w:r>
        <w:rPr>
          <w:rFonts w:hint="eastAsia" w:ascii="仿宋_GB2312" w:hAnsi="宋体" w:eastAsia="仿宋_GB2312"/>
          <w:b/>
          <w:sz w:val="28"/>
          <w:szCs w:val="28"/>
          <w:lang w:eastAsia="zh-CN"/>
        </w:rPr>
        <w:t>、</w:t>
      </w:r>
      <w:r>
        <w:rPr>
          <w:rFonts w:hint="eastAsia" w:ascii="仿宋_GB2312" w:hAnsi="宋体" w:eastAsia="仿宋_GB2312"/>
          <w:b/>
          <w:sz w:val="28"/>
          <w:szCs w:val="28"/>
        </w:rPr>
        <w:t>资料</w:t>
      </w:r>
      <w:r>
        <w:rPr>
          <w:rFonts w:hint="eastAsia" w:ascii="仿宋_GB2312" w:hAnsi="宋体" w:eastAsia="仿宋_GB2312"/>
          <w:b/>
          <w:sz w:val="28"/>
          <w:szCs w:val="28"/>
          <w:lang w:val="en-US" w:eastAsia="zh-CN"/>
        </w:rPr>
        <w:t>及其他要求</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4.1所报产品（含所选用的主要元器件）必须具有CCC认证标志，必须符合国家现行技术标准的规定，并提供</w:t>
      </w:r>
      <w:bookmarkStart w:id="1" w:name="_GoBack"/>
      <w:bookmarkEnd w:id="1"/>
      <w:r>
        <w:rPr>
          <w:rFonts w:hint="eastAsia" w:ascii="仿宋_GB2312" w:hAnsi="宋体" w:eastAsia="仿宋_GB2312"/>
          <w:sz w:val="28"/>
          <w:szCs w:val="28"/>
        </w:rPr>
        <w:t>产品合格证书、国家检验报告；</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4.2本设备中所必须的技术文件和资料每台设备不少于2套；</w:t>
      </w:r>
    </w:p>
    <w:p>
      <w:pPr>
        <w:ind w:firstLine="548" w:firstLineChars="196"/>
        <w:rPr>
          <w:rFonts w:hint="eastAsia" w:ascii="仿宋_GB2312" w:hAnsi="宋体" w:eastAsia="仿宋_GB2312"/>
          <w:sz w:val="28"/>
          <w:szCs w:val="28"/>
        </w:rPr>
      </w:pPr>
      <w:r>
        <w:rPr>
          <w:rFonts w:hint="eastAsia" w:ascii="仿宋_GB2312" w:hAnsi="宋体" w:eastAsia="仿宋_GB2312"/>
          <w:sz w:val="28"/>
          <w:szCs w:val="28"/>
        </w:rPr>
        <w:t>4.3提供部件清单；</w:t>
      </w:r>
    </w:p>
    <w:p>
      <w:pPr>
        <w:ind w:firstLine="548" w:firstLineChars="196"/>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4.4监控系统需接入专网。</w:t>
      </w:r>
    </w:p>
    <w:p>
      <w:pPr>
        <w:tabs>
          <w:tab w:val="left" w:pos="5325"/>
        </w:tabs>
        <w:autoSpaceDE w:val="0"/>
        <w:autoSpaceDN w:val="0"/>
        <w:adjustRightInd w:val="0"/>
        <w:snapToGrid w:val="0"/>
        <w:spacing w:line="360" w:lineRule="auto"/>
        <w:ind w:firstLine="562" w:firstLineChars="200"/>
        <w:rPr>
          <w:rFonts w:hint="eastAsia" w:ascii="仿宋_GB2312" w:eastAsia="仿宋_GB2312"/>
          <w:b/>
          <w:sz w:val="28"/>
          <w:szCs w:val="28"/>
        </w:rPr>
      </w:pPr>
      <w:r>
        <w:rPr>
          <w:rFonts w:hint="eastAsia" w:ascii="仿宋_GB2312" w:eastAsia="仿宋_GB2312" w:cs="仿宋_GB2312"/>
          <w:b/>
          <w:bCs/>
          <w:sz w:val="28"/>
          <w:szCs w:val="28"/>
          <w:lang w:val="zh-CN"/>
        </w:rPr>
        <w:t>5、</w:t>
      </w:r>
      <w:r>
        <w:rPr>
          <w:rFonts w:hint="eastAsia" w:ascii="仿宋_GB2312" w:eastAsia="仿宋_GB2312"/>
          <w:b/>
          <w:sz w:val="28"/>
          <w:szCs w:val="28"/>
        </w:rPr>
        <w:t>主要材料表</w:t>
      </w:r>
    </w:p>
    <w:tbl>
      <w:tblPr>
        <w:tblStyle w:val="2"/>
        <w:tblW w:w="9300"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57" w:type="dxa"/>
          <w:bottom w:w="0" w:type="dxa"/>
          <w:right w:w="57" w:type="dxa"/>
        </w:tblCellMar>
      </w:tblPr>
      <w:tblGrid>
        <w:gridCol w:w="2043"/>
        <w:gridCol w:w="2835"/>
        <w:gridCol w:w="3373"/>
        <w:gridCol w:w="104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rPr>
          <w:trHeight w:val="625" w:hRule="atLeast"/>
        </w:trPr>
        <w:tc>
          <w:tcPr>
            <w:tcW w:w="9299" w:type="dxa"/>
            <w:gridSpan w:val="4"/>
            <w:tcBorders>
              <w:top w:val="single" w:color="000000" w:sz="12" w:space="0"/>
              <w:left w:val="single" w:color="000000" w:sz="12" w:space="0"/>
              <w:bottom w:val="single" w:color="000000" w:sz="6" w:space="0"/>
              <w:right w:val="single" w:color="000000" w:sz="12" w:space="0"/>
            </w:tcBorders>
            <w:vAlign w:val="center"/>
          </w:tcPr>
          <w:p>
            <w:pPr>
              <w:spacing w:line="360" w:lineRule="auto"/>
              <w:jc w:val="center"/>
              <w:rPr>
                <w:rFonts w:hint="eastAsia" w:ascii="宋体" w:hAnsi="宋体"/>
                <w:b/>
                <w:sz w:val="28"/>
              </w:rPr>
            </w:pPr>
            <w:r>
              <w:rPr>
                <w:rFonts w:hint="eastAsia" w:ascii="宋体" w:hAnsi="宋体"/>
                <w:b/>
                <w:sz w:val="28"/>
              </w:rPr>
              <w:t>小控制箱主要材料表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名称</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规格</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品牌</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浪涌保护器</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80KV-3P+N</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3只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刀熔开关</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HR5-100/3</w:t>
            </w:r>
          </w:p>
        </w:tc>
        <w:tc>
          <w:tcPr>
            <w:tcW w:w="3373" w:type="dxa"/>
            <w:tcBorders>
              <w:top w:val="single" w:color="000000" w:sz="6" w:space="0"/>
              <w:left w:val="single" w:color="000000" w:sz="6" w:space="0"/>
              <w:bottom w:val="single" w:color="000000" w:sz="6" w:space="0"/>
              <w:right w:val="single" w:color="000000" w:sz="6" w:space="0"/>
            </w:tcBorders>
            <w:vAlign w:val="center"/>
          </w:tcPr>
          <w:p>
            <w:pPr>
              <w:tabs>
                <w:tab w:val="left" w:pos="735"/>
              </w:tabs>
              <w:spacing w:line="360" w:lineRule="auto"/>
              <w:jc w:val="center"/>
              <w:rPr>
                <w:rFonts w:hint="eastAsia" w:ascii="宋体" w:hAnsi="宋体"/>
                <w:sz w:val="24"/>
              </w:rPr>
            </w:pPr>
            <w:r>
              <w:rPr>
                <w:rFonts w:hint="eastAsia" w:ascii="宋体" w:hAnsi="宋体"/>
                <w:sz w:val="24"/>
              </w:rPr>
              <w:t>施耐德、ABB、</w:t>
            </w:r>
            <w:r>
              <w:rPr>
                <w:rFonts w:hint="eastAsia" w:ascii="仿宋_GB2312" w:hAnsi="宋体" w:eastAsia="仿宋_GB2312"/>
                <w:sz w:val="24"/>
              </w:rPr>
              <w:t>西门子</w:t>
            </w:r>
          </w:p>
        </w:tc>
        <w:tc>
          <w:tcPr>
            <w:tcW w:w="1049" w:type="dxa"/>
            <w:tcBorders>
              <w:top w:val="single" w:color="000000" w:sz="6" w:space="0"/>
              <w:left w:val="single" w:color="000000" w:sz="6" w:space="0"/>
              <w:bottom w:val="single" w:color="000000" w:sz="6" w:space="0"/>
              <w:right w:val="single" w:color="000000" w:sz="12" w:space="0"/>
            </w:tcBorders>
            <w:vAlign w:val="center"/>
          </w:tcPr>
          <w:p>
            <w:pPr>
              <w:tabs>
                <w:tab w:val="left" w:pos="735"/>
              </w:tabs>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rPr>
          <w:trHeight w:val="90" w:hRule="atLeast"/>
        </w:trPr>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电表架</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3373" w:type="dxa"/>
            <w:tcBorders>
              <w:top w:val="single" w:color="000000" w:sz="6" w:space="0"/>
              <w:left w:val="single" w:color="000000" w:sz="6" w:space="0"/>
              <w:bottom w:val="single" w:color="000000" w:sz="6" w:space="0"/>
              <w:right w:val="single" w:color="000000" w:sz="6" w:space="0"/>
            </w:tcBorders>
            <w:vAlign w:val="center"/>
          </w:tcPr>
          <w:p>
            <w:pPr>
              <w:tabs>
                <w:tab w:val="left" w:pos="735"/>
              </w:tabs>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tabs>
                <w:tab w:val="left" w:pos="735"/>
              </w:tabs>
              <w:spacing w:line="360" w:lineRule="auto"/>
              <w:jc w:val="center"/>
              <w:rPr>
                <w:rFonts w:hint="eastAsia" w:ascii="宋体" w:hAnsi="宋体"/>
                <w:sz w:val="24"/>
              </w:rPr>
            </w:pPr>
            <w:r>
              <w:rPr>
                <w:rFonts w:hint="eastAsia" w:ascii="宋体" w:hAnsi="宋体"/>
                <w:sz w:val="24"/>
              </w:rPr>
              <w:t>1套</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采集器表架</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3373" w:type="dxa"/>
            <w:tcBorders>
              <w:top w:val="single" w:color="000000" w:sz="6" w:space="0"/>
              <w:left w:val="single" w:color="000000" w:sz="6" w:space="0"/>
              <w:bottom w:val="single" w:color="000000" w:sz="6" w:space="0"/>
              <w:right w:val="single" w:color="000000" w:sz="6" w:space="0"/>
            </w:tcBorders>
            <w:vAlign w:val="center"/>
          </w:tcPr>
          <w:p>
            <w:pPr>
              <w:tabs>
                <w:tab w:val="left" w:pos="735"/>
              </w:tabs>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tabs>
                <w:tab w:val="left" w:pos="735"/>
              </w:tabs>
              <w:spacing w:line="360" w:lineRule="auto"/>
              <w:jc w:val="center"/>
              <w:rPr>
                <w:rFonts w:hint="eastAsia" w:ascii="宋体" w:hAnsi="宋体"/>
                <w:sz w:val="24"/>
              </w:rPr>
            </w:pPr>
            <w:r>
              <w:rPr>
                <w:rFonts w:hint="eastAsia" w:ascii="宋体" w:hAnsi="宋体"/>
                <w:sz w:val="24"/>
              </w:rPr>
              <w:t>1套</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真空接触器</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CKJP-80A（单极）</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6只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电流互感器</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50/5(0.2级精度)</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Cs w:val="21"/>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12只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熔断器</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RT0-100A</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Cs w:val="21"/>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3只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C65N-3A/1P</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Cs w:val="21"/>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C65N-6A/1P</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Cs w:val="21"/>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6只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C65N-10A/1P</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Cs w:val="21"/>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8只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C65N-16A/1P</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Cs w:val="21"/>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6只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rPr>
          <w:trHeight w:val="90" w:hRule="atLeast"/>
        </w:trPr>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C65N-10A/2P</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Cs w:val="21"/>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LED灯管T5一体化支架</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大于功率12W，大于4000K.长度1米</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飞利浦、雷士、欧普</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eastAsiaTheme="minorEastAsia"/>
                <w:sz w:val="24"/>
              </w:rPr>
            </w:pPr>
            <w:r>
              <w:rPr>
                <w:rFonts w:hint="eastAsia" w:ascii="宋体" w:hAnsi="宋体"/>
                <w:sz w:val="24"/>
              </w:rPr>
              <w:t>1根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五孔插座</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AC30-10A/250V</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中国人民电器、正泰、德力西</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万能转换开关</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LW12-16D0401/2</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rPr>
          <w:trHeight w:val="450" w:hRule="atLeast"/>
        </w:trPr>
        <w:tc>
          <w:tcPr>
            <w:tcW w:w="2042" w:type="dxa"/>
            <w:tcBorders>
              <w:top w:val="single" w:color="000000" w:sz="6" w:space="0"/>
              <w:left w:val="single" w:color="000000" w:sz="12" w:space="0"/>
              <w:bottom w:val="single" w:color="000000" w:sz="6" w:space="0"/>
              <w:right w:val="single" w:color="000000" w:sz="6" w:space="0"/>
            </w:tcBorders>
            <w:vAlign w:val="center"/>
          </w:tcPr>
          <w:p>
            <w:pPr>
              <w:jc w:val="center"/>
              <w:rPr>
                <w:rFonts w:hint="eastAsia" w:ascii="宋体" w:hAnsi="宋体"/>
                <w:sz w:val="24"/>
              </w:rPr>
            </w:pPr>
            <w:r>
              <w:rPr>
                <w:rFonts w:hint="eastAsia" w:ascii="宋体" w:hAnsi="宋体"/>
                <w:sz w:val="24"/>
              </w:rPr>
              <w:t>不锈钢箱体</w:t>
            </w:r>
          </w:p>
        </w:tc>
        <w:tc>
          <w:tcPr>
            <w:tcW w:w="2835"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sz w:val="24"/>
              </w:rPr>
            </w:pPr>
            <w:r>
              <w:rPr>
                <w:rFonts w:hint="eastAsia" w:ascii="宋体" w:hAnsi="宋体"/>
                <w:sz w:val="24"/>
              </w:rPr>
              <w:t>650*450*1600*2mm</w:t>
            </w:r>
          </w:p>
        </w:tc>
        <w:tc>
          <w:tcPr>
            <w:tcW w:w="3373"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接地排、零线排</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30mm*2mm</w:t>
            </w:r>
            <w:bookmarkStart w:id="0" w:name="OLE_LINK1"/>
            <w:r>
              <w:rPr>
                <w:rFonts w:hint="eastAsia" w:ascii="宋体" w:hAnsi="宋体"/>
                <w:sz w:val="24"/>
              </w:rPr>
              <w:t>（TD15\TB15）</w:t>
            </w:r>
            <w:bookmarkEnd w:id="0"/>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各1根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零地连接排</w:t>
            </w:r>
          </w:p>
        </w:tc>
        <w:tc>
          <w:tcPr>
            <w:tcW w:w="2835" w:type="dxa"/>
            <w:tcBorders>
              <w:top w:val="single" w:color="000000" w:sz="6" w:space="0"/>
              <w:left w:val="single" w:color="000000" w:sz="6" w:space="0"/>
              <w:bottom w:val="single" w:color="000000" w:sz="6" w:space="0"/>
              <w:right w:val="single" w:color="000000" w:sz="6" w:space="0"/>
            </w:tcBorders>
            <w:vAlign w:val="center"/>
          </w:tcPr>
          <w:p>
            <w:pPr>
              <w:spacing w:line="360" w:lineRule="auto"/>
              <w:ind w:left="-109" w:leftChars="-52" w:right="-107" w:rightChars="-51"/>
              <w:jc w:val="center"/>
              <w:rPr>
                <w:rFonts w:hint="eastAsia" w:ascii="宋体" w:hAnsi="宋体"/>
                <w:sz w:val="24"/>
              </w:rPr>
            </w:pPr>
            <w:r>
              <w:rPr>
                <w:rFonts w:hint="eastAsia" w:ascii="宋体" w:hAnsi="宋体"/>
                <w:sz w:val="24"/>
              </w:rPr>
              <w:t>30mm*2mm（须套绝缘管）</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ind w:left="-109" w:leftChars="-52" w:right="-107" w:rightChars="-51"/>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ind w:left="-109" w:leftChars="-52" w:right="-107" w:rightChars="-51"/>
              <w:jc w:val="center"/>
              <w:rPr>
                <w:rFonts w:hint="eastAsia" w:ascii="宋体" w:hAnsi="宋体"/>
                <w:sz w:val="24"/>
              </w:rPr>
            </w:pPr>
            <w:r>
              <w:rPr>
                <w:rFonts w:hint="eastAsia" w:ascii="宋体" w:hAnsi="宋体"/>
                <w:sz w:val="24"/>
              </w:rPr>
              <w:t>1付</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jc w:val="center"/>
              <w:rPr>
                <w:rFonts w:hint="eastAsia" w:ascii="宋体" w:hAnsi="宋体"/>
                <w:color w:val="0000FF"/>
                <w:sz w:val="24"/>
              </w:rPr>
            </w:pPr>
            <w:r>
              <w:rPr>
                <w:rFonts w:hint="eastAsia" w:ascii="宋体" w:hAnsi="宋体"/>
                <w:color w:val="0000FF"/>
                <w:sz w:val="24"/>
              </w:rPr>
              <w:t>三遥监控系统终端（综合性</w:t>
            </w:r>
            <w:r>
              <w:rPr>
                <w:rFonts w:hint="eastAsia" w:ascii="宋体" w:hAnsi="宋体"/>
                <w:color w:val="0000FF"/>
                <w:sz w:val="24"/>
                <w:lang w:val="en-US" w:eastAsia="zh-CN"/>
              </w:rPr>
              <w:t>4G</w:t>
            </w:r>
            <w:r>
              <w:rPr>
                <w:rFonts w:hint="eastAsia" w:ascii="宋体" w:hAnsi="宋体"/>
                <w:color w:val="0000FF"/>
                <w:sz w:val="24"/>
              </w:rPr>
              <w:t>）</w:t>
            </w:r>
          </w:p>
        </w:tc>
        <w:tc>
          <w:tcPr>
            <w:tcW w:w="2835"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color w:val="0000FF"/>
                <w:sz w:val="24"/>
              </w:rPr>
            </w:pPr>
            <w:r>
              <w:rPr>
                <w:rFonts w:hint="eastAsia" w:ascii="宋体" w:hAnsi="宋体"/>
                <w:color w:val="0000FF"/>
                <w:sz w:val="24"/>
              </w:rPr>
              <w:t>含漏电监测</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ind w:left="-109" w:leftChars="-52" w:right="-107" w:rightChars="-51"/>
              <w:jc w:val="center"/>
              <w:rPr>
                <w:rFonts w:hint="eastAsia" w:ascii="宋体" w:hAnsi="宋体"/>
                <w:color w:val="0000FF"/>
                <w:sz w:val="24"/>
              </w:rPr>
            </w:pPr>
            <w:r>
              <w:rPr>
                <w:rFonts w:hint="eastAsia" w:ascii="宋体" w:hAnsi="宋体"/>
                <w:color w:val="0000FF"/>
                <w:sz w:val="24"/>
              </w:rPr>
              <w:t>须与现有控制系统兼容</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ind w:left="-109" w:leftChars="-52" w:right="-107" w:rightChars="-51"/>
              <w:jc w:val="center"/>
              <w:rPr>
                <w:rFonts w:hint="eastAsia" w:ascii="宋体" w:hAnsi="宋体"/>
                <w:color w:val="0000FF"/>
                <w:sz w:val="24"/>
              </w:rPr>
            </w:pPr>
            <w:r>
              <w:rPr>
                <w:rFonts w:hint="eastAsia" w:ascii="宋体" w:hAnsi="宋体"/>
                <w:color w:val="0000FF"/>
                <w:sz w:val="24"/>
              </w:rPr>
              <w:t>1套</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jc w:val="center"/>
              <w:rPr>
                <w:rFonts w:hint="eastAsia" w:ascii="宋体" w:hAnsi="宋体"/>
                <w:color w:val="0000FF"/>
                <w:sz w:val="24"/>
              </w:rPr>
            </w:pPr>
            <w:r>
              <w:rPr>
                <w:rFonts w:hint="eastAsia" w:ascii="宋体" w:hAnsi="宋体"/>
                <w:color w:val="0000FF"/>
                <w:sz w:val="24"/>
              </w:rPr>
              <w:t>零序电流互感器</w:t>
            </w:r>
          </w:p>
        </w:tc>
        <w:tc>
          <w:tcPr>
            <w:tcW w:w="2835"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color w:val="0000FF"/>
                <w:sz w:val="24"/>
              </w:rPr>
            </w:pPr>
            <w:r>
              <w:rPr>
                <w:rFonts w:hint="eastAsia" w:ascii="宋体" w:hAnsi="宋体"/>
                <w:color w:val="0000FF"/>
                <w:sz w:val="24"/>
              </w:rPr>
              <w:t>内径小于50mm</w:t>
            </w:r>
          </w:p>
        </w:tc>
        <w:tc>
          <w:tcPr>
            <w:tcW w:w="3373" w:type="dxa"/>
            <w:tcBorders>
              <w:top w:val="single" w:color="000000" w:sz="6" w:space="0"/>
              <w:left w:val="single" w:color="000000" w:sz="6" w:space="0"/>
              <w:bottom w:val="single" w:color="000000" w:sz="6" w:space="0"/>
              <w:right w:val="single" w:color="000000" w:sz="6" w:space="0"/>
            </w:tcBorders>
            <w:vAlign w:val="center"/>
          </w:tcPr>
          <w:p>
            <w:pPr>
              <w:spacing w:line="360" w:lineRule="auto"/>
              <w:ind w:left="-109" w:leftChars="-52" w:right="-107" w:rightChars="-51"/>
              <w:jc w:val="center"/>
              <w:rPr>
                <w:rFonts w:hint="eastAsia" w:ascii="宋体" w:hAnsi="宋体"/>
                <w:color w:val="0000FF"/>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ind w:left="-109" w:leftChars="-52" w:right="-107" w:rightChars="-51"/>
              <w:jc w:val="center"/>
              <w:rPr>
                <w:rFonts w:hint="eastAsia" w:ascii="宋体" w:hAnsi="宋体"/>
                <w:color w:val="0000FF"/>
                <w:sz w:val="24"/>
              </w:rPr>
            </w:pPr>
            <w:r>
              <w:rPr>
                <w:rFonts w:hint="eastAsia" w:ascii="宋体" w:hAnsi="宋体"/>
                <w:color w:val="0000FF"/>
                <w:sz w:val="24"/>
              </w:rPr>
              <w:t>8只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rPr>
          <w:trHeight w:val="1261" w:hRule="atLeast"/>
        </w:trPr>
        <w:tc>
          <w:tcPr>
            <w:tcW w:w="9299" w:type="dxa"/>
            <w:gridSpan w:val="4"/>
            <w:tcBorders>
              <w:top w:val="single" w:color="000000" w:sz="6" w:space="0"/>
              <w:left w:val="single" w:color="000000" w:sz="12" w:space="0"/>
              <w:bottom w:val="single" w:color="000000" w:sz="12" w:space="0"/>
              <w:right w:val="single" w:color="000000" w:sz="12" w:space="0"/>
            </w:tcBorders>
            <w:vAlign w:val="center"/>
          </w:tcPr>
          <w:p>
            <w:pPr>
              <w:spacing w:line="360" w:lineRule="auto"/>
              <w:ind w:firstLine="480" w:firstLineChars="200"/>
              <w:jc w:val="left"/>
              <w:rPr>
                <w:rFonts w:hint="eastAsia" w:ascii="宋体" w:hAnsi="宋体"/>
                <w:sz w:val="24"/>
              </w:rPr>
            </w:pPr>
            <w:r>
              <w:rPr>
                <w:rFonts w:hint="eastAsia" w:ascii="宋体" w:hAnsi="宋体"/>
                <w:sz w:val="24"/>
              </w:rPr>
              <w:t>备注：1、一次线的线径应熔断器以上为16mm</w:t>
            </w:r>
            <w:r>
              <w:rPr>
                <w:rFonts w:hint="eastAsia" w:ascii="宋体" w:hAnsi="宋体"/>
                <w:sz w:val="24"/>
                <w:vertAlign w:val="superscript"/>
              </w:rPr>
              <w:t>2</w:t>
            </w:r>
            <w:r>
              <w:rPr>
                <w:rFonts w:hint="eastAsia" w:ascii="宋体" w:hAnsi="宋体"/>
                <w:sz w:val="24"/>
              </w:rPr>
              <w:t>，熔断器以下为10mm</w:t>
            </w:r>
            <w:r>
              <w:rPr>
                <w:rFonts w:hint="eastAsia" w:ascii="宋体" w:hAnsi="宋体"/>
                <w:sz w:val="24"/>
                <w:vertAlign w:val="superscript"/>
              </w:rPr>
              <w:t>2</w:t>
            </w:r>
            <w:r>
              <w:rPr>
                <w:rFonts w:hint="eastAsia" w:ascii="宋体" w:hAnsi="宋体"/>
                <w:sz w:val="24"/>
              </w:rPr>
              <w:t>。</w:t>
            </w:r>
          </w:p>
          <w:p>
            <w:pPr>
              <w:spacing w:line="360" w:lineRule="auto"/>
              <w:ind w:firstLine="480" w:firstLineChars="200"/>
              <w:jc w:val="left"/>
              <w:rPr>
                <w:rFonts w:hint="eastAsia" w:ascii="宋体" w:hAnsi="宋体"/>
                <w:sz w:val="24"/>
              </w:rPr>
            </w:pPr>
            <w:r>
              <w:rPr>
                <w:rFonts w:hint="eastAsia" w:ascii="宋体" w:hAnsi="宋体"/>
                <w:sz w:val="24"/>
              </w:rPr>
              <w:t xml:space="preserve">      2、铰链须采用电气柜专用三合一不锈钢铰链。</w:t>
            </w:r>
          </w:p>
        </w:tc>
      </w:tr>
    </w:tbl>
    <w:p>
      <w:pPr>
        <w:tabs>
          <w:tab w:val="left" w:pos="5325"/>
        </w:tabs>
        <w:autoSpaceDE w:val="0"/>
        <w:autoSpaceDN w:val="0"/>
        <w:adjustRightInd w:val="0"/>
        <w:snapToGrid w:val="0"/>
        <w:spacing w:line="360" w:lineRule="auto"/>
        <w:rPr>
          <w:rFonts w:hint="eastAsia" w:ascii="仿宋_GB2312" w:eastAsia="仿宋_GB2312" w:cs="仿宋_GB2312"/>
          <w:b/>
          <w:bCs/>
          <w:sz w:val="28"/>
          <w:szCs w:val="28"/>
        </w:rPr>
      </w:pPr>
    </w:p>
    <w:tbl>
      <w:tblPr>
        <w:tblStyle w:val="2"/>
        <w:tblW w:w="9300"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57" w:type="dxa"/>
          <w:bottom w:w="0" w:type="dxa"/>
          <w:right w:w="57" w:type="dxa"/>
        </w:tblCellMar>
      </w:tblPr>
      <w:tblGrid>
        <w:gridCol w:w="2043"/>
        <w:gridCol w:w="2693"/>
        <w:gridCol w:w="3515"/>
        <w:gridCol w:w="104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rPr>
          <w:trHeight w:val="496" w:hRule="atLeast"/>
        </w:trPr>
        <w:tc>
          <w:tcPr>
            <w:tcW w:w="9299" w:type="dxa"/>
            <w:gridSpan w:val="4"/>
            <w:tcBorders>
              <w:top w:val="single" w:color="000000" w:sz="12" w:space="0"/>
              <w:left w:val="single" w:color="000000" w:sz="12" w:space="0"/>
              <w:bottom w:val="single" w:color="000000" w:sz="6" w:space="0"/>
              <w:right w:val="single" w:color="000000" w:sz="12" w:space="0"/>
            </w:tcBorders>
            <w:vAlign w:val="center"/>
          </w:tcPr>
          <w:p>
            <w:pPr>
              <w:spacing w:line="360" w:lineRule="auto"/>
              <w:jc w:val="center"/>
              <w:rPr>
                <w:rFonts w:hint="eastAsia" w:ascii="宋体" w:hAnsi="宋体"/>
                <w:b/>
                <w:sz w:val="28"/>
              </w:rPr>
            </w:pPr>
            <w:r>
              <w:rPr>
                <w:rFonts w:hint="eastAsia" w:ascii="宋体" w:hAnsi="宋体"/>
                <w:b/>
                <w:sz w:val="28"/>
              </w:rPr>
              <w:t>大控制箱主要材料表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名称</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规格</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品牌</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浪涌保护器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80KV-3P+N</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3只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刀熔开关</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HR5-200/3</w:t>
            </w:r>
          </w:p>
        </w:tc>
        <w:tc>
          <w:tcPr>
            <w:tcW w:w="3515" w:type="dxa"/>
            <w:tcBorders>
              <w:top w:val="single" w:color="000000" w:sz="6" w:space="0"/>
              <w:left w:val="single" w:color="000000" w:sz="6" w:space="0"/>
              <w:bottom w:val="single" w:color="000000" w:sz="6" w:space="0"/>
              <w:right w:val="single" w:color="000000" w:sz="6" w:space="0"/>
            </w:tcBorders>
            <w:vAlign w:val="center"/>
          </w:tcPr>
          <w:p>
            <w:pPr>
              <w:tabs>
                <w:tab w:val="left" w:pos="735"/>
              </w:tabs>
              <w:spacing w:line="360" w:lineRule="auto"/>
              <w:jc w:val="center"/>
              <w:rPr>
                <w:rFonts w:hint="eastAsia" w:ascii="宋体" w:hAnsi="宋体"/>
                <w:sz w:val="24"/>
              </w:rPr>
            </w:pPr>
            <w:r>
              <w:rPr>
                <w:rFonts w:hint="eastAsia" w:ascii="宋体" w:hAnsi="宋体"/>
                <w:sz w:val="24"/>
              </w:rPr>
              <w:t>施耐德、ABB、</w:t>
            </w:r>
            <w:r>
              <w:rPr>
                <w:rFonts w:hint="eastAsia" w:ascii="仿宋_GB2312" w:hAnsi="宋体" w:eastAsia="仿宋_GB2312"/>
                <w:sz w:val="24"/>
              </w:rPr>
              <w:t>西门子</w:t>
            </w:r>
          </w:p>
        </w:tc>
        <w:tc>
          <w:tcPr>
            <w:tcW w:w="1049" w:type="dxa"/>
            <w:tcBorders>
              <w:top w:val="single" w:color="000000" w:sz="6" w:space="0"/>
              <w:left w:val="single" w:color="000000" w:sz="6" w:space="0"/>
              <w:bottom w:val="single" w:color="000000" w:sz="6" w:space="0"/>
              <w:right w:val="single" w:color="000000" w:sz="12" w:space="0"/>
            </w:tcBorders>
            <w:vAlign w:val="center"/>
          </w:tcPr>
          <w:p>
            <w:pPr>
              <w:tabs>
                <w:tab w:val="left" w:pos="735"/>
              </w:tabs>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电表架</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3515" w:type="dxa"/>
            <w:tcBorders>
              <w:top w:val="single" w:color="000000" w:sz="6" w:space="0"/>
              <w:left w:val="single" w:color="000000" w:sz="6" w:space="0"/>
              <w:bottom w:val="single" w:color="000000" w:sz="6" w:space="0"/>
              <w:right w:val="single" w:color="000000" w:sz="6" w:space="0"/>
            </w:tcBorders>
            <w:vAlign w:val="center"/>
          </w:tcPr>
          <w:p>
            <w:pPr>
              <w:tabs>
                <w:tab w:val="left" w:pos="735"/>
              </w:tabs>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tabs>
                <w:tab w:val="left" w:pos="735"/>
              </w:tabs>
              <w:spacing w:line="360" w:lineRule="auto"/>
              <w:jc w:val="center"/>
              <w:rPr>
                <w:rFonts w:hint="eastAsia" w:ascii="宋体" w:hAnsi="宋体"/>
                <w:sz w:val="24"/>
              </w:rPr>
            </w:pPr>
            <w:r>
              <w:rPr>
                <w:rFonts w:hint="eastAsia" w:ascii="宋体" w:hAnsi="宋体"/>
                <w:sz w:val="24"/>
              </w:rPr>
              <w:t>1套</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采集器表架</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3515" w:type="dxa"/>
            <w:tcBorders>
              <w:top w:val="single" w:color="000000" w:sz="6" w:space="0"/>
              <w:left w:val="single" w:color="000000" w:sz="6" w:space="0"/>
              <w:bottom w:val="single" w:color="000000" w:sz="6" w:space="0"/>
              <w:right w:val="single" w:color="000000" w:sz="6" w:space="0"/>
            </w:tcBorders>
            <w:vAlign w:val="center"/>
          </w:tcPr>
          <w:p>
            <w:pPr>
              <w:tabs>
                <w:tab w:val="left" w:pos="735"/>
              </w:tabs>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tabs>
                <w:tab w:val="left" w:pos="735"/>
              </w:tabs>
              <w:spacing w:line="360" w:lineRule="auto"/>
              <w:jc w:val="center"/>
              <w:rPr>
                <w:rFonts w:hint="eastAsia" w:ascii="宋体" w:hAnsi="宋体"/>
                <w:sz w:val="24"/>
              </w:rPr>
            </w:pPr>
            <w:r>
              <w:rPr>
                <w:rFonts w:hint="eastAsia" w:ascii="宋体" w:hAnsi="宋体"/>
                <w:sz w:val="24"/>
              </w:rPr>
              <w:t>1套</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真空接触器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DLCKJ5F-63</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4只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电流互感器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50/5(0.2级精度)</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 w:val="24"/>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24只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熔断器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RT0-200A</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 w:val="24"/>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3只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C65N-3A/1P</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 w:val="24"/>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C65N-6A/1P</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 w:val="24"/>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4只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C65N-10A/1P</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 w:val="24"/>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14只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C65N-16A/1P</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 w:val="24"/>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12只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C65N-10A/2P</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 w:val="24"/>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C65N-16A/2P</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 w:val="24"/>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断路器</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C65N-32A/2P</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仿宋_GB2312" w:hAnsi="宋体" w:eastAsia="仿宋_GB2312"/>
                <w:sz w:val="24"/>
              </w:rPr>
              <w:t>ABB、西门子、施耐德</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2只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LED灯管T5一体化支架</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大于功率12W，大于4000K.长度1米</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飞利浦、雷士、欧普</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五孔插座</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AC30-10A/250V</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中国人民电器、正泰、德力西</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万能转换开关</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LW12-16D0401/2</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rPr>
          <w:trHeight w:val="450" w:hRule="atLeast"/>
        </w:trPr>
        <w:tc>
          <w:tcPr>
            <w:tcW w:w="2042" w:type="dxa"/>
            <w:tcBorders>
              <w:top w:val="single" w:color="000000" w:sz="6" w:space="0"/>
              <w:left w:val="single" w:color="000000" w:sz="12" w:space="0"/>
              <w:bottom w:val="single" w:color="000000" w:sz="6" w:space="0"/>
              <w:right w:val="single" w:color="000000" w:sz="6" w:space="0"/>
            </w:tcBorders>
            <w:vAlign w:val="center"/>
          </w:tcPr>
          <w:p>
            <w:pPr>
              <w:jc w:val="center"/>
              <w:rPr>
                <w:rFonts w:hint="eastAsia" w:ascii="宋体" w:hAnsi="宋体"/>
                <w:sz w:val="24"/>
              </w:rPr>
            </w:pPr>
            <w:r>
              <w:rPr>
                <w:rFonts w:hint="eastAsia" w:ascii="宋体" w:hAnsi="宋体"/>
                <w:sz w:val="24"/>
              </w:rPr>
              <w:t>不锈钢箱体</w:t>
            </w:r>
          </w:p>
        </w:tc>
        <w:tc>
          <w:tcPr>
            <w:tcW w:w="2693"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sz w:val="24"/>
              </w:rPr>
            </w:pPr>
            <w:r>
              <w:rPr>
                <w:rFonts w:hint="eastAsia" w:ascii="宋体" w:hAnsi="宋体"/>
                <w:sz w:val="24"/>
              </w:rPr>
              <w:t>650*450*1600*2mm</w:t>
            </w:r>
          </w:p>
        </w:tc>
        <w:tc>
          <w:tcPr>
            <w:tcW w:w="3515"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jc w:val="center"/>
              <w:rPr>
                <w:rFonts w:hint="eastAsia" w:ascii="宋体" w:hAnsi="宋体"/>
                <w:sz w:val="24"/>
              </w:rPr>
            </w:pPr>
            <w:r>
              <w:rPr>
                <w:rFonts w:hint="eastAsia" w:ascii="宋体" w:hAnsi="宋体"/>
                <w:sz w:val="24"/>
              </w:rPr>
              <w:t>1只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接地排、零线排</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30mm*2mm（TD15\TB15）</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jc w:val="center"/>
              <w:rPr>
                <w:rFonts w:hint="eastAsia" w:ascii="宋体" w:hAnsi="宋体"/>
                <w:sz w:val="24"/>
              </w:rPr>
            </w:pPr>
            <w:r>
              <w:rPr>
                <w:rFonts w:hint="eastAsia" w:ascii="宋体" w:hAnsi="宋体"/>
                <w:sz w:val="24"/>
              </w:rPr>
              <w:t>各1根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rPr>
                <w:rFonts w:hint="eastAsia" w:ascii="宋体" w:hAnsi="宋体"/>
                <w:sz w:val="24"/>
              </w:rPr>
            </w:pPr>
            <w:r>
              <w:rPr>
                <w:rFonts w:hint="eastAsia" w:ascii="宋体" w:hAnsi="宋体"/>
                <w:sz w:val="24"/>
              </w:rPr>
              <w:t>零地连接排</w:t>
            </w:r>
          </w:p>
        </w:tc>
        <w:tc>
          <w:tcPr>
            <w:tcW w:w="2693" w:type="dxa"/>
            <w:tcBorders>
              <w:top w:val="single" w:color="000000" w:sz="6" w:space="0"/>
              <w:left w:val="single" w:color="000000" w:sz="6" w:space="0"/>
              <w:bottom w:val="single" w:color="000000" w:sz="6" w:space="0"/>
              <w:right w:val="single" w:color="000000" w:sz="6" w:space="0"/>
            </w:tcBorders>
            <w:vAlign w:val="center"/>
          </w:tcPr>
          <w:p>
            <w:pPr>
              <w:spacing w:line="360" w:lineRule="auto"/>
              <w:ind w:left="-109" w:leftChars="-52" w:right="-107" w:rightChars="-51"/>
              <w:jc w:val="center"/>
              <w:rPr>
                <w:rFonts w:hint="eastAsia" w:ascii="宋体" w:hAnsi="宋体"/>
                <w:sz w:val="24"/>
              </w:rPr>
            </w:pPr>
            <w:r>
              <w:rPr>
                <w:rFonts w:hint="eastAsia" w:ascii="宋体" w:hAnsi="宋体"/>
                <w:sz w:val="24"/>
              </w:rPr>
              <w:t>30mm*2mm（须套绝缘管）</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ind w:left="-109" w:leftChars="-52" w:right="-107" w:rightChars="-51"/>
              <w:jc w:val="center"/>
              <w:rPr>
                <w:rFonts w:hint="eastAsia" w:ascii="宋体" w:hAnsi="宋体"/>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ind w:left="-109" w:leftChars="-52" w:right="-107" w:rightChars="-51"/>
              <w:jc w:val="center"/>
              <w:rPr>
                <w:rFonts w:hint="eastAsia" w:ascii="宋体" w:hAnsi="宋体"/>
                <w:sz w:val="24"/>
              </w:rPr>
            </w:pPr>
            <w:r>
              <w:rPr>
                <w:rFonts w:hint="eastAsia" w:ascii="宋体" w:hAnsi="宋体"/>
                <w:sz w:val="24"/>
              </w:rPr>
              <w:t>1付</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jc w:val="center"/>
              <w:rPr>
                <w:rFonts w:hint="eastAsia" w:ascii="宋体" w:hAnsi="宋体"/>
                <w:color w:val="0000FF"/>
                <w:sz w:val="24"/>
              </w:rPr>
            </w:pPr>
            <w:r>
              <w:rPr>
                <w:rFonts w:hint="eastAsia" w:ascii="宋体" w:hAnsi="宋体"/>
                <w:color w:val="0000FF"/>
                <w:sz w:val="24"/>
              </w:rPr>
              <w:t>三遥监控系统终端（综合性</w:t>
            </w:r>
            <w:r>
              <w:rPr>
                <w:rFonts w:hint="eastAsia" w:ascii="宋体" w:hAnsi="宋体"/>
                <w:color w:val="0000FF"/>
                <w:sz w:val="24"/>
                <w:lang w:val="en-US" w:eastAsia="zh-CN"/>
              </w:rPr>
              <w:t>4G</w:t>
            </w:r>
            <w:r>
              <w:rPr>
                <w:rFonts w:hint="eastAsia" w:ascii="宋体" w:hAnsi="宋体"/>
                <w:color w:val="0000FF"/>
                <w:sz w:val="24"/>
              </w:rPr>
              <w:t>）</w:t>
            </w:r>
          </w:p>
        </w:tc>
        <w:tc>
          <w:tcPr>
            <w:tcW w:w="2693"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color w:val="0000FF"/>
                <w:sz w:val="24"/>
              </w:rPr>
            </w:pPr>
            <w:r>
              <w:rPr>
                <w:rFonts w:hint="eastAsia" w:ascii="宋体" w:hAnsi="宋体"/>
                <w:color w:val="0000FF"/>
                <w:sz w:val="24"/>
              </w:rPr>
              <w:t>含漏电监测</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ind w:left="-109" w:leftChars="-52" w:right="-107" w:rightChars="-51"/>
              <w:jc w:val="center"/>
              <w:rPr>
                <w:rFonts w:hint="eastAsia" w:ascii="宋体" w:hAnsi="宋体"/>
                <w:color w:val="0000FF"/>
                <w:sz w:val="24"/>
              </w:rPr>
            </w:pPr>
            <w:r>
              <w:rPr>
                <w:rFonts w:hint="eastAsia" w:ascii="宋体" w:hAnsi="宋体"/>
                <w:color w:val="0000FF"/>
                <w:sz w:val="24"/>
              </w:rPr>
              <w:t>须与现有控制系统兼容</w:t>
            </w: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ind w:left="-109" w:leftChars="-52" w:right="-107" w:rightChars="-51"/>
              <w:jc w:val="center"/>
              <w:rPr>
                <w:rFonts w:hint="eastAsia" w:ascii="宋体" w:hAnsi="宋体"/>
                <w:color w:val="0000FF"/>
                <w:sz w:val="24"/>
              </w:rPr>
            </w:pPr>
            <w:r>
              <w:rPr>
                <w:rFonts w:hint="eastAsia" w:ascii="宋体" w:hAnsi="宋体"/>
                <w:color w:val="0000FF"/>
                <w:sz w:val="24"/>
              </w:rPr>
              <w:t>1套</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c>
          <w:tcPr>
            <w:tcW w:w="2042" w:type="dxa"/>
            <w:tcBorders>
              <w:top w:val="single" w:color="000000" w:sz="6" w:space="0"/>
              <w:left w:val="single" w:color="000000" w:sz="12" w:space="0"/>
              <w:bottom w:val="single" w:color="000000" w:sz="6" w:space="0"/>
              <w:right w:val="single" w:color="000000" w:sz="6" w:space="0"/>
            </w:tcBorders>
            <w:vAlign w:val="center"/>
          </w:tcPr>
          <w:p>
            <w:pPr>
              <w:jc w:val="center"/>
              <w:rPr>
                <w:rFonts w:hint="eastAsia" w:ascii="宋体" w:hAnsi="宋体"/>
                <w:color w:val="0000FF"/>
                <w:sz w:val="24"/>
              </w:rPr>
            </w:pPr>
            <w:r>
              <w:rPr>
                <w:rFonts w:hint="eastAsia" w:ascii="宋体" w:hAnsi="宋体"/>
                <w:color w:val="0000FF"/>
                <w:sz w:val="24"/>
              </w:rPr>
              <w:t>零序电流互感器</w:t>
            </w:r>
          </w:p>
        </w:tc>
        <w:tc>
          <w:tcPr>
            <w:tcW w:w="2693"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color w:val="0000FF"/>
                <w:sz w:val="24"/>
              </w:rPr>
            </w:pPr>
            <w:r>
              <w:rPr>
                <w:rFonts w:hint="eastAsia" w:ascii="宋体" w:hAnsi="宋体"/>
                <w:color w:val="0000FF"/>
                <w:sz w:val="24"/>
              </w:rPr>
              <w:t>内径小于50mm</w:t>
            </w:r>
          </w:p>
        </w:tc>
        <w:tc>
          <w:tcPr>
            <w:tcW w:w="3515" w:type="dxa"/>
            <w:tcBorders>
              <w:top w:val="single" w:color="000000" w:sz="6" w:space="0"/>
              <w:left w:val="single" w:color="000000" w:sz="6" w:space="0"/>
              <w:bottom w:val="single" w:color="000000" w:sz="6" w:space="0"/>
              <w:right w:val="single" w:color="000000" w:sz="6" w:space="0"/>
            </w:tcBorders>
            <w:vAlign w:val="center"/>
          </w:tcPr>
          <w:p>
            <w:pPr>
              <w:spacing w:line="360" w:lineRule="auto"/>
              <w:ind w:left="-109" w:leftChars="-52" w:right="-107" w:rightChars="-51"/>
              <w:jc w:val="center"/>
              <w:rPr>
                <w:rFonts w:hint="eastAsia" w:ascii="宋体" w:hAnsi="宋体"/>
                <w:color w:val="0000FF"/>
                <w:sz w:val="24"/>
              </w:rPr>
            </w:pPr>
          </w:p>
        </w:tc>
        <w:tc>
          <w:tcPr>
            <w:tcW w:w="1049" w:type="dxa"/>
            <w:tcBorders>
              <w:top w:val="single" w:color="000000" w:sz="6" w:space="0"/>
              <w:left w:val="single" w:color="000000" w:sz="6" w:space="0"/>
              <w:bottom w:val="single" w:color="000000" w:sz="6" w:space="0"/>
              <w:right w:val="single" w:color="000000" w:sz="12" w:space="0"/>
            </w:tcBorders>
            <w:vAlign w:val="center"/>
          </w:tcPr>
          <w:p>
            <w:pPr>
              <w:spacing w:line="360" w:lineRule="auto"/>
              <w:ind w:left="-109" w:leftChars="-52" w:right="-107" w:rightChars="-51"/>
              <w:jc w:val="center"/>
              <w:rPr>
                <w:rFonts w:hint="eastAsia" w:ascii="宋体" w:hAnsi="宋体"/>
                <w:color w:val="0000FF"/>
                <w:sz w:val="24"/>
              </w:rPr>
            </w:pPr>
            <w:r>
              <w:rPr>
                <w:rFonts w:hint="eastAsia" w:ascii="宋体" w:hAnsi="宋体"/>
                <w:color w:val="0000FF"/>
                <w:sz w:val="24"/>
              </w:rPr>
              <w:t>8只</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57" w:type="dxa"/>
            <w:bottom w:w="0" w:type="dxa"/>
            <w:right w:w="57" w:type="dxa"/>
          </w:tblCellMar>
        </w:tblPrEx>
        <w:trPr>
          <w:trHeight w:val="817" w:hRule="atLeast"/>
        </w:trPr>
        <w:tc>
          <w:tcPr>
            <w:tcW w:w="9299" w:type="dxa"/>
            <w:gridSpan w:val="4"/>
            <w:tcBorders>
              <w:top w:val="single" w:color="000000" w:sz="6" w:space="0"/>
              <w:left w:val="single" w:color="000000" w:sz="12" w:space="0"/>
              <w:bottom w:val="single" w:color="000000" w:sz="12" w:space="0"/>
              <w:right w:val="single" w:color="000000" w:sz="12" w:space="0"/>
            </w:tcBorders>
            <w:vAlign w:val="center"/>
          </w:tcPr>
          <w:p>
            <w:pPr>
              <w:spacing w:line="360" w:lineRule="auto"/>
              <w:ind w:firstLine="480" w:firstLineChars="200"/>
              <w:jc w:val="left"/>
              <w:rPr>
                <w:rFonts w:hint="eastAsia" w:ascii="宋体" w:hAnsi="宋体"/>
                <w:sz w:val="24"/>
              </w:rPr>
            </w:pPr>
            <w:r>
              <w:rPr>
                <w:rFonts w:hint="eastAsia" w:ascii="宋体" w:hAnsi="宋体"/>
                <w:sz w:val="24"/>
              </w:rPr>
              <w:t>备注：1、一次线的线径应熔断器以上为16mm</w:t>
            </w:r>
            <w:r>
              <w:rPr>
                <w:rFonts w:hint="eastAsia" w:ascii="宋体" w:hAnsi="宋体"/>
                <w:sz w:val="24"/>
                <w:vertAlign w:val="superscript"/>
              </w:rPr>
              <w:t>2</w:t>
            </w:r>
            <w:r>
              <w:rPr>
                <w:rFonts w:hint="eastAsia" w:ascii="宋体" w:hAnsi="宋体"/>
                <w:sz w:val="24"/>
              </w:rPr>
              <w:t>，熔断器以下为10mm</w:t>
            </w:r>
            <w:r>
              <w:rPr>
                <w:rFonts w:hint="eastAsia" w:ascii="宋体" w:hAnsi="宋体"/>
                <w:sz w:val="24"/>
                <w:vertAlign w:val="superscript"/>
              </w:rPr>
              <w:t>2</w:t>
            </w:r>
            <w:r>
              <w:rPr>
                <w:rFonts w:hint="eastAsia" w:ascii="宋体" w:hAnsi="宋体"/>
                <w:sz w:val="24"/>
              </w:rPr>
              <w:t>。</w:t>
            </w:r>
          </w:p>
          <w:p>
            <w:pPr>
              <w:spacing w:line="360" w:lineRule="auto"/>
              <w:ind w:firstLine="480" w:firstLineChars="200"/>
              <w:jc w:val="left"/>
              <w:rPr>
                <w:rFonts w:hint="eastAsia" w:ascii="宋体" w:hAnsi="宋体"/>
                <w:sz w:val="24"/>
              </w:rPr>
            </w:pPr>
            <w:r>
              <w:rPr>
                <w:rFonts w:hint="eastAsia" w:ascii="宋体" w:hAnsi="宋体"/>
                <w:sz w:val="24"/>
              </w:rPr>
              <w:t xml:space="preserve">      2、铰链须采用电气柜专用三合一不锈钢铰链。</w:t>
            </w:r>
          </w:p>
        </w:tc>
      </w:tr>
    </w:tbl>
    <w:p>
      <w:pPr>
        <w:tabs>
          <w:tab w:val="left" w:pos="5325"/>
        </w:tabs>
        <w:autoSpaceDE w:val="0"/>
        <w:autoSpaceDN w:val="0"/>
        <w:adjustRightInd w:val="0"/>
        <w:snapToGrid w:val="0"/>
        <w:spacing w:line="360" w:lineRule="auto"/>
        <w:rPr>
          <w:rFonts w:hint="eastAsia" w:ascii="仿宋_GB2312" w:eastAsia="仿宋_GB2312" w:cs="仿宋_GB2312"/>
          <w:b/>
          <w:bCs/>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mZjNhODQ5ODhhZTVhZjllOGI1MzNkMzlhOGJhNDIifQ=="/>
  </w:docVars>
  <w:rsids>
    <w:rsidRoot w:val="00A47D0E"/>
    <w:rsid w:val="00440183"/>
    <w:rsid w:val="00A47D0E"/>
    <w:rsid w:val="00F8079D"/>
    <w:rsid w:val="1ACB4B33"/>
    <w:rsid w:val="33BF646F"/>
    <w:rsid w:val="36D26500"/>
    <w:rsid w:val="78DD4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3085</Words>
  <Characters>3643</Characters>
  <Lines>27</Lines>
  <Paragraphs>7</Paragraphs>
  <TotalTime>4</TotalTime>
  <ScaleCrop>false</ScaleCrop>
  <LinksUpToDate>false</LinksUpToDate>
  <CharactersWithSpaces>3656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2022-05-23T07:03:00Z</dcterms:created>
  <dc:creator>pc</dc:creator>
  <cp:lastModifiedBy>吕永小荷</cp:lastModifiedBy>
  <dcterms:modified xsi:type="dcterms:W3CDTF">2023-02-03T02:47:31Z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83535A2BCD1C46B98216991AC35BB2BF</vt:lpwstr>
  </property>
</Properties>
</file>